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36"/>
      </w:tblGrid>
      <w:tr w:rsidR="00CA3E45" w14:paraId="69E9AA0F" w14:textId="77777777" w:rsidTr="00115ACF">
        <w:trPr>
          <w:trHeight w:val="1761"/>
        </w:trPr>
        <w:tc>
          <w:tcPr>
            <w:tcW w:w="10036" w:type="dxa"/>
          </w:tcPr>
          <w:p w14:paraId="5C8F2ECE" w14:textId="7FA42BED" w:rsidR="00EC67C6" w:rsidRPr="00515B2D" w:rsidRDefault="008759BB" w:rsidP="00CA3E45">
            <w:pPr>
              <w:pStyle w:val="Documenttitle"/>
              <w:rPr>
                <w:color w:val="00D7BD" w:themeColor="accent1"/>
                <w:sz w:val="42"/>
                <w:szCs w:val="42"/>
                <w:lang w:val="en-US"/>
              </w:rPr>
            </w:pPr>
            <w:r>
              <w:rPr>
                <w:color w:val="00D7BD" w:themeColor="accent1"/>
                <w:sz w:val="42"/>
                <w:szCs w:val="42"/>
                <w:lang w:val="en-US"/>
              </w:rPr>
              <w:t>LUWARE</w:t>
            </w:r>
            <w:r w:rsidR="00B13E8D">
              <w:rPr>
                <w:color w:val="00D7BD" w:themeColor="accent1"/>
                <w:sz w:val="42"/>
                <w:szCs w:val="42"/>
                <w:lang w:val="en-US"/>
              </w:rPr>
              <w:t>’S</w:t>
            </w:r>
            <w:r>
              <w:rPr>
                <w:color w:val="00D7BD" w:themeColor="accent1"/>
                <w:sz w:val="42"/>
                <w:szCs w:val="42"/>
                <w:lang w:val="en-US"/>
              </w:rPr>
              <w:t xml:space="preserve"> NIMBUS </w:t>
            </w:r>
            <w:r w:rsidR="00F75796" w:rsidRPr="00515B2D">
              <w:rPr>
                <w:color w:val="00D7BD" w:themeColor="accent1"/>
                <w:sz w:val="42"/>
                <w:szCs w:val="42"/>
                <w:lang w:val="en-US"/>
              </w:rPr>
              <w:t>S</w:t>
            </w:r>
            <w:r w:rsidR="006847D0">
              <w:rPr>
                <w:color w:val="00D7BD" w:themeColor="accent1"/>
                <w:sz w:val="42"/>
                <w:szCs w:val="42"/>
                <w:lang w:val="en-US"/>
              </w:rPr>
              <w:t>olution</w:t>
            </w:r>
            <w:r w:rsidR="009075B7" w:rsidRPr="00515B2D">
              <w:rPr>
                <w:color w:val="00D7BD" w:themeColor="accent1"/>
                <w:sz w:val="42"/>
                <w:szCs w:val="42"/>
                <w:lang w:val="en-US"/>
              </w:rPr>
              <w:t xml:space="preserve"> –</w:t>
            </w:r>
            <w:r w:rsidR="00F75796" w:rsidRPr="00515B2D">
              <w:rPr>
                <w:color w:val="00D7BD" w:themeColor="accent1"/>
                <w:sz w:val="42"/>
                <w:szCs w:val="42"/>
                <w:lang w:val="en-US"/>
              </w:rPr>
              <w:t xml:space="preserve"> to </w:t>
            </w:r>
            <w:r>
              <w:rPr>
                <w:color w:val="00D7BD" w:themeColor="accent1"/>
                <w:sz w:val="42"/>
                <w:szCs w:val="42"/>
                <w:lang w:val="en-US"/>
              </w:rPr>
              <w:t>Colt Intelligent Communications (CIC)</w:t>
            </w:r>
          </w:p>
          <w:p w14:paraId="00B5AED9" w14:textId="77777777" w:rsidR="00CA3E45" w:rsidRDefault="00D73DC4" w:rsidP="00CA3E45">
            <w:pPr>
              <w:pStyle w:val="Documenttitle"/>
              <w:rPr>
                <w:color w:val="00D7BD" w:themeColor="accent1"/>
                <w:sz w:val="42"/>
                <w:szCs w:val="42"/>
              </w:rPr>
            </w:pPr>
            <w:r w:rsidRPr="00515B2D">
              <w:rPr>
                <w:color w:val="00D7BD" w:themeColor="accent1"/>
                <w:sz w:val="42"/>
                <w:szCs w:val="42"/>
              </w:rPr>
              <w:t>Data Pr</w:t>
            </w:r>
            <w:r w:rsidR="00EC67C6" w:rsidRPr="00515B2D">
              <w:rPr>
                <w:color w:val="00D7BD" w:themeColor="accent1"/>
                <w:sz w:val="42"/>
                <w:szCs w:val="42"/>
              </w:rPr>
              <w:t>otection</w:t>
            </w:r>
            <w:r w:rsidRPr="00515B2D">
              <w:rPr>
                <w:color w:val="00D7BD" w:themeColor="accent1"/>
                <w:sz w:val="42"/>
                <w:szCs w:val="42"/>
              </w:rPr>
              <w:t xml:space="preserve"> </w:t>
            </w:r>
            <w:r w:rsidR="00EC67C6" w:rsidRPr="00515B2D">
              <w:rPr>
                <w:color w:val="00D7BD" w:themeColor="accent1"/>
                <w:sz w:val="42"/>
                <w:szCs w:val="42"/>
              </w:rPr>
              <w:t>Sheet</w:t>
            </w:r>
          </w:p>
          <w:p w14:paraId="05A36F18" w14:textId="5B1CF37B" w:rsidR="00515B2D" w:rsidRPr="00515B2D" w:rsidRDefault="00515B2D" w:rsidP="00515B2D"/>
        </w:tc>
      </w:tr>
    </w:tbl>
    <w:p w14:paraId="38B29DA1" w14:textId="4DB8743D" w:rsidR="00EC67C6" w:rsidRDefault="00D73DC4" w:rsidP="00D73DC4">
      <w:pPr>
        <w:spacing w:after="160" w:line="259" w:lineRule="auto"/>
      </w:pPr>
      <w:r>
        <w:t xml:space="preserve">This Data </w:t>
      </w:r>
      <w:r w:rsidR="00EC67C6">
        <w:t xml:space="preserve">Protection </w:t>
      </w:r>
      <w:r>
        <w:t xml:space="preserve">Sheet describes the </w:t>
      </w:r>
      <w:r w:rsidR="00EC67C6">
        <w:t xml:space="preserve">details of </w:t>
      </w:r>
      <w:r w:rsidR="00A16810">
        <w:t xml:space="preserve">the </w:t>
      </w:r>
      <w:r>
        <w:t xml:space="preserve">personal data </w:t>
      </w:r>
      <w:r w:rsidR="00EC67C6">
        <w:t xml:space="preserve">processing activities </w:t>
      </w:r>
      <w:r w:rsidR="00A16810">
        <w:t>derived from</w:t>
      </w:r>
      <w:r w:rsidR="008759BB">
        <w:t xml:space="preserve"> the </w:t>
      </w:r>
      <w:proofErr w:type="spellStart"/>
      <w:r w:rsidR="008759BB">
        <w:t>L</w:t>
      </w:r>
      <w:r w:rsidR="00622F61">
        <w:t>uware</w:t>
      </w:r>
      <w:r w:rsidR="00B13E8D">
        <w:t>’</w:t>
      </w:r>
      <w:r w:rsidR="00622F61">
        <w:t>s</w:t>
      </w:r>
      <w:proofErr w:type="spellEnd"/>
      <w:r w:rsidR="008759BB">
        <w:t xml:space="preserve"> N</w:t>
      </w:r>
      <w:r w:rsidR="006847D0">
        <w:t>imbus</w:t>
      </w:r>
      <w:r w:rsidR="00E4521F">
        <w:t xml:space="preserve"> Solution</w:t>
      </w:r>
      <w:r w:rsidR="008014C0">
        <w:t>, a licensed c</w:t>
      </w:r>
      <w:r w:rsidR="00B13E8D">
        <w:t xml:space="preserve">loud </w:t>
      </w:r>
      <w:r w:rsidR="008014C0">
        <w:t>s</w:t>
      </w:r>
      <w:r w:rsidR="00B13E8D">
        <w:t xml:space="preserve">ervice </w:t>
      </w:r>
      <w:r w:rsidR="009B1D4C">
        <w:t xml:space="preserve">solution </w:t>
      </w:r>
      <w:r w:rsidR="009B1D4C" w:rsidRPr="009B1D4C">
        <w:t xml:space="preserve">native platform built on Microsoft Azure that provides integrated customer service features in Microsoft Teams </w:t>
      </w:r>
      <w:r w:rsidR="00E4521F">
        <w:t xml:space="preserve">provided by </w:t>
      </w:r>
      <w:proofErr w:type="spellStart"/>
      <w:r w:rsidR="00E4521F">
        <w:t>Luware</w:t>
      </w:r>
      <w:proofErr w:type="spellEnd"/>
      <w:r w:rsidR="00E4521F">
        <w:t xml:space="preserve"> and </w:t>
      </w:r>
      <w:r w:rsidR="00B13E8D">
        <w:t xml:space="preserve">available </w:t>
      </w:r>
      <w:r w:rsidR="00E4521F">
        <w:t>in</w:t>
      </w:r>
      <w:r w:rsidR="00B13E8D">
        <w:t xml:space="preserve"> </w:t>
      </w:r>
      <w:r w:rsidR="00B13E8D" w:rsidRPr="009A7EDB">
        <w:t>Colt Intelligent Communications (CIC</w:t>
      </w:r>
      <w:r w:rsidR="00B13E8D">
        <w:t xml:space="preserve">). </w:t>
      </w:r>
    </w:p>
    <w:p w14:paraId="560C43C9" w14:textId="358B280E" w:rsidR="000673CE" w:rsidRDefault="00515B2D" w:rsidP="000673CE">
      <w:r>
        <w:rPr>
          <w:noProof/>
        </w:rPr>
        <mc:AlternateContent>
          <mc:Choice Requires="wps">
            <w:drawing>
              <wp:anchor distT="45720" distB="45720" distL="114300" distR="114300" simplePos="0" relativeHeight="251659264" behindDoc="0" locked="0" layoutInCell="1" allowOverlap="1" wp14:anchorId="367404BC" wp14:editId="3CDB3874">
                <wp:simplePos x="0" y="0"/>
                <wp:positionH relativeFrom="margin">
                  <wp:align>right</wp:align>
                </wp:positionH>
                <wp:positionV relativeFrom="paragraph">
                  <wp:posOffset>240030</wp:posOffset>
                </wp:positionV>
                <wp:extent cx="6170295" cy="1123950"/>
                <wp:effectExtent l="0" t="0" r="2095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123950"/>
                        </a:xfrm>
                        <a:prstGeom prst="rect">
                          <a:avLst/>
                        </a:prstGeom>
                        <a:solidFill>
                          <a:srgbClr val="FFFFFF"/>
                        </a:solidFill>
                        <a:ln w="9525">
                          <a:solidFill>
                            <a:schemeClr val="accent1"/>
                          </a:solidFill>
                          <a:miter lim="800000"/>
                          <a:headEnd/>
                          <a:tailEnd/>
                        </a:ln>
                      </wps:spPr>
                      <wps:txbx>
                        <w:txbxContent>
                          <w:p w14:paraId="72838DA4" w14:textId="71923EBA" w:rsidR="00B13E8D" w:rsidRPr="00622F61" w:rsidRDefault="00B13E8D" w:rsidP="00622F61">
                            <w:pPr>
                              <w:spacing w:after="200" w:line="276" w:lineRule="auto"/>
                              <w:jc w:val="both"/>
                              <w:rPr>
                                <w:color w:val="00D7BD" w:themeColor="accent1"/>
                                <w:szCs w:val="20"/>
                              </w:rPr>
                            </w:pPr>
                            <w:r w:rsidRPr="00622F61">
                              <w:rPr>
                                <w:color w:val="00D7BD" w:themeColor="accent1"/>
                                <w:szCs w:val="20"/>
                              </w:rPr>
                              <w:t xml:space="preserve">Nimbus is a </w:t>
                            </w:r>
                            <w:proofErr w:type="spellStart"/>
                            <w:r w:rsidRPr="00622F61">
                              <w:rPr>
                                <w:color w:val="00D7BD" w:themeColor="accent1"/>
                                <w:szCs w:val="20"/>
                              </w:rPr>
                              <w:t>Luware</w:t>
                            </w:r>
                            <w:r w:rsidR="006847D0">
                              <w:rPr>
                                <w:color w:val="00D7BD" w:themeColor="accent1"/>
                                <w:szCs w:val="20"/>
                              </w:rPr>
                              <w:t>’s</w:t>
                            </w:r>
                            <w:proofErr w:type="spellEnd"/>
                            <w:r w:rsidRPr="00622F61">
                              <w:rPr>
                                <w:color w:val="00D7BD" w:themeColor="accent1"/>
                                <w:szCs w:val="20"/>
                              </w:rPr>
                              <w:t xml:space="preserve"> software-as-a-service cloud-native platform built on </w:t>
                            </w:r>
                            <w:r w:rsidR="00622F61">
                              <w:rPr>
                                <w:color w:val="00D7BD" w:themeColor="accent1"/>
                                <w:szCs w:val="20"/>
                              </w:rPr>
                              <w:t xml:space="preserve">Microsoft </w:t>
                            </w:r>
                            <w:r w:rsidRPr="00622F61">
                              <w:rPr>
                                <w:color w:val="00D7BD" w:themeColor="accent1"/>
                                <w:szCs w:val="20"/>
                              </w:rPr>
                              <w:t xml:space="preserve">Azure that provides integrated customer service features in Microsoft Teams including advanced call routing, operator consoles, contact centre functionality and compliance recording. </w:t>
                            </w:r>
                          </w:p>
                          <w:p w14:paraId="05B86C4D" w14:textId="5D489F25" w:rsidR="00374CFD" w:rsidRPr="006847D0" w:rsidRDefault="00374CFD" w:rsidP="004F23FF">
                            <w:pPr>
                              <w:spacing w:after="200" w:line="276" w:lineRule="auto"/>
                              <w:jc w:val="both"/>
                              <w:rPr>
                                <w:color w:val="00D7BD" w:themeColor="accent1"/>
                                <w:szCs w:val="20"/>
                              </w:rPr>
                            </w:pPr>
                            <w:r w:rsidRPr="00374CFD">
                              <w:rPr>
                                <w:color w:val="00D7BD" w:themeColor="accent1"/>
                                <w:szCs w:val="20"/>
                              </w:rPr>
                              <w:t>CIC combines productivity and enterprise communication in Microsoft Office 365 with</w:t>
                            </w:r>
                            <w:r>
                              <w:t xml:space="preserve"> </w:t>
                            </w:r>
                            <w:r w:rsidRPr="00374CFD">
                              <w:rPr>
                                <w:b/>
                                <w:bCs/>
                              </w:rPr>
                              <w:t>Colt network and voice services</w:t>
                            </w:r>
                            <w:r w:rsidR="006847D0">
                              <w:t xml:space="preserve"> </w:t>
                            </w:r>
                            <w:r w:rsidR="006847D0" w:rsidRPr="006847D0">
                              <w:rPr>
                                <w:color w:val="00D7BD" w:themeColor="accent1"/>
                                <w:szCs w:val="20"/>
                              </w:rPr>
                              <w:t>including, among other elements</w:t>
                            </w:r>
                            <w:r w:rsidR="006847D0">
                              <w:rPr>
                                <w:color w:val="00D7BD" w:themeColor="accent1"/>
                                <w:szCs w:val="20"/>
                              </w:rPr>
                              <w:t>,</w:t>
                            </w:r>
                            <w:r w:rsidR="006847D0" w:rsidRPr="006847D0">
                              <w:rPr>
                                <w:color w:val="00D7BD" w:themeColor="accent1"/>
                                <w:szCs w:val="20"/>
                              </w:rPr>
                              <w:t xml:space="preserve"> </w:t>
                            </w:r>
                            <w:proofErr w:type="spellStart"/>
                            <w:r w:rsidR="006847D0" w:rsidRPr="006847D0">
                              <w:rPr>
                                <w:color w:val="00D7BD" w:themeColor="accent1"/>
                                <w:szCs w:val="20"/>
                              </w:rPr>
                              <w:t>Luware’s</w:t>
                            </w:r>
                            <w:proofErr w:type="spellEnd"/>
                            <w:r w:rsidR="006847D0" w:rsidRPr="006847D0">
                              <w:rPr>
                                <w:color w:val="00D7BD" w:themeColor="accent1"/>
                                <w:szCs w:val="20"/>
                              </w:rPr>
                              <w:t xml:space="preserve"> Nimbus.</w:t>
                            </w:r>
                            <w:r w:rsidRPr="006847D0">
                              <w:rPr>
                                <w:color w:val="00D7BD" w:themeColor="accent1"/>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404BC" id="_x0000_t202" coordsize="21600,21600" o:spt="202" path="m,l,21600r21600,l21600,xe">
                <v:stroke joinstyle="miter"/>
                <v:path gradientshapeok="t" o:connecttype="rect"/>
              </v:shapetype>
              <v:shape id="Text Box 217" o:spid="_x0000_s1026" type="#_x0000_t202" style="position:absolute;margin-left:434.65pt;margin-top:18.9pt;width:485.85pt;height:8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" strokecolor="#00d7bd [3204]">
                <v:textbox>
                  <w:txbxContent>
                    <w:p w14:paraId="72838DA4" w14:textId="71923EBA" w:rsidR="00B13E8D" w:rsidRPr="00622F61" w:rsidRDefault="00B13E8D" w:rsidP="00622F61">
                      <w:pPr>
                        <w:spacing w:after="200" w:line="276" w:lineRule="auto"/>
                        <w:jc w:val="both"/>
                        <w:rPr>
                          <w:color w:val="00D7BD" w:themeColor="accent1"/>
                          <w:szCs w:val="20"/>
                        </w:rPr>
                      </w:pPr>
                      <w:r w:rsidRPr="00622F61">
                        <w:rPr>
                          <w:color w:val="00D7BD" w:themeColor="accent1"/>
                          <w:szCs w:val="20"/>
                        </w:rPr>
                        <w:t xml:space="preserve">Nimbus is a </w:t>
                      </w:r>
                      <w:proofErr w:type="spellStart"/>
                      <w:r w:rsidRPr="00622F61">
                        <w:rPr>
                          <w:color w:val="00D7BD" w:themeColor="accent1"/>
                          <w:szCs w:val="20"/>
                        </w:rPr>
                        <w:t>Luware</w:t>
                      </w:r>
                      <w:r w:rsidR="006847D0">
                        <w:rPr>
                          <w:color w:val="00D7BD" w:themeColor="accent1"/>
                          <w:szCs w:val="20"/>
                        </w:rPr>
                        <w:t>’s</w:t>
                      </w:r>
                      <w:proofErr w:type="spellEnd"/>
                      <w:r w:rsidRPr="00622F61">
                        <w:rPr>
                          <w:color w:val="00D7BD" w:themeColor="accent1"/>
                          <w:szCs w:val="20"/>
                        </w:rPr>
                        <w:t xml:space="preserve"> software-as-a-service cloud-native platform built on </w:t>
                      </w:r>
                      <w:r w:rsidR="00622F61">
                        <w:rPr>
                          <w:color w:val="00D7BD" w:themeColor="accent1"/>
                          <w:szCs w:val="20"/>
                        </w:rPr>
                        <w:t xml:space="preserve">Microsoft </w:t>
                      </w:r>
                      <w:r w:rsidRPr="00622F61">
                        <w:rPr>
                          <w:color w:val="00D7BD" w:themeColor="accent1"/>
                          <w:szCs w:val="20"/>
                        </w:rPr>
                        <w:t xml:space="preserve">Azure that provides integrated customer service features in Microsoft Teams including advanced call routing, operator consoles, contact centre functionality and compliance recording. </w:t>
                      </w:r>
                    </w:p>
                    <w:p w14:paraId="05B86C4D" w14:textId="5D489F25" w:rsidR="00374CFD" w:rsidRPr="006847D0" w:rsidRDefault="00374CFD" w:rsidP="004F23FF">
                      <w:pPr>
                        <w:spacing w:after="200" w:line="276" w:lineRule="auto"/>
                        <w:jc w:val="both"/>
                        <w:rPr>
                          <w:color w:val="00D7BD" w:themeColor="accent1"/>
                          <w:szCs w:val="20"/>
                        </w:rPr>
                      </w:pPr>
                      <w:r w:rsidRPr="00374CFD">
                        <w:rPr>
                          <w:color w:val="00D7BD" w:themeColor="accent1"/>
                          <w:szCs w:val="20"/>
                        </w:rPr>
                        <w:t>CIC combines productivity and enterprise communication in Microsoft Office 365 with</w:t>
                      </w:r>
                      <w:r>
                        <w:t xml:space="preserve"> </w:t>
                      </w:r>
                      <w:r w:rsidRPr="00374CFD">
                        <w:rPr>
                          <w:b/>
                          <w:bCs/>
                        </w:rPr>
                        <w:t>Colt network and voice services</w:t>
                      </w:r>
                      <w:r w:rsidR="006847D0">
                        <w:t xml:space="preserve"> </w:t>
                      </w:r>
                      <w:r w:rsidR="006847D0" w:rsidRPr="006847D0">
                        <w:rPr>
                          <w:color w:val="00D7BD" w:themeColor="accent1"/>
                          <w:szCs w:val="20"/>
                        </w:rPr>
                        <w:t>including, among other elements</w:t>
                      </w:r>
                      <w:r w:rsidR="006847D0">
                        <w:rPr>
                          <w:color w:val="00D7BD" w:themeColor="accent1"/>
                          <w:szCs w:val="20"/>
                        </w:rPr>
                        <w:t>,</w:t>
                      </w:r>
                      <w:r w:rsidR="006847D0" w:rsidRPr="006847D0">
                        <w:rPr>
                          <w:color w:val="00D7BD" w:themeColor="accent1"/>
                          <w:szCs w:val="20"/>
                        </w:rPr>
                        <w:t xml:space="preserve"> </w:t>
                      </w:r>
                      <w:proofErr w:type="spellStart"/>
                      <w:r w:rsidR="006847D0" w:rsidRPr="006847D0">
                        <w:rPr>
                          <w:color w:val="00D7BD" w:themeColor="accent1"/>
                          <w:szCs w:val="20"/>
                        </w:rPr>
                        <w:t>Luware’s</w:t>
                      </w:r>
                      <w:proofErr w:type="spellEnd"/>
                      <w:r w:rsidR="006847D0" w:rsidRPr="006847D0">
                        <w:rPr>
                          <w:color w:val="00D7BD" w:themeColor="accent1"/>
                          <w:szCs w:val="20"/>
                        </w:rPr>
                        <w:t xml:space="preserve"> Nimbus.</w:t>
                      </w:r>
                      <w:r w:rsidRPr="006847D0">
                        <w:rPr>
                          <w:color w:val="00D7BD" w:themeColor="accent1"/>
                          <w:szCs w:val="20"/>
                        </w:rPr>
                        <w:t xml:space="preserve"> </w:t>
                      </w:r>
                    </w:p>
                  </w:txbxContent>
                </v:textbox>
                <w10:wrap type="square" anchorx="margin"/>
              </v:shape>
            </w:pict>
          </mc:Fallback>
        </mc:AlternateContent>
      </w:r>
    </w:p>
    <w:p w14:paraId="140FF8FC" w14:textId="5CCCBD68" w:rsidR="000673CE" w:rsidRDefault="000673CE" w:rsidP="000673CE">
      <w:pPr>
        <w:rPr>
          <w:noProof/>
        </w:rPr>
      </w:pPr>
    </w:p>
    <w:p w14:paraId="1C133A26" w14:textId="3254EA68" w:rsidR="00F97A59" w:rsidRPr="00EB1D9D" w:rsidRDefault="00643EE0" w:rsidP="00643EE0">
      <w:pPr>
        <w:spacing w:after="394"/>
        <w:jc w:val="both"/>
        <w:rPr>
          <w:rFonts w:ascii="Arial" w:hAnsi="Arial"/>
          <w:color w:val="040C28"/>
        </w:rPr>
      </w:pPr>
      <w:r w:rsidRPr="00EB1D9D">
        <w:rPr>
          <w:rFonts w:ascii="Arial" w:hAnsi="Arial"/>
          <w:color w:val="040C28"/>
        </w:rPr>
        <w:t xml:space="preserve">Colt </w:t>
      </w:r>
      <w:r w:rsidR="000166AE" w:rsidRPr="00EB1D9D">
        <w:rPr>
          <w:rFonts w:ascii="Arial" w:hAnsi="Arial"/>
          <w:color w:val="040C28"/>
        </w:rPr>
        <w:t xml:space="preserve">provides CIC services </w:t>
      </w:r>
      <w:r w:rsidRPr="00EB1D9D">
        <w:rPr>
          <w:rFonts w:ascii="Arial" w:hAnsi="Arial"/>
          <w:color w:val="040C28"/>
        </w:rPr>
        <w:t>as a telecommunications or communication service provider to its customers (“Customers”)</w:t>
      </w:r>
      <w:r w:rsidR="004F5590" w:rsidRPr="00EB1D9D">
        <w:rPr>
          <w:rFonts w:ascii="Arial" w:hAnsi="Arial"/>
          <w:color w:val="040C28"/>
        </w:rPr>
        <w:t>.</w:t>
      </w:r>
      <w:r w:rsidR="006847D0" w:rsidRPr="00EB1D9D">
        <w:rPr>
          <w:rFonts w:ascii="Arial" w:hAnsi="Arial"/>
          <w:color w:val="040C28"/>
        </w:rPr>
        <w:t xml:space="preserve"> </w:t>
      </w:r>
      <w:r w:rsidRPr="00EB1D9D">
        <w:rPr>
          <w:rFonts w:ascii="Arial" w:hAnsi="Arial"/>
          <w:color w:val="040C28"/>
        </w:rPr>
        <w:t xml:space="preserve">A telecommunications or communication service provider is company that transports information electronically through telephony and data communication services in the networking industry. Colt is also an Internet </w:t>
      </w:r>
      <w:r w:rsidR="00374CFD" w:rsidRPr="00EB1D9D">
        <w:rPr>
          <w:rFonts w:ascii="Arial" w:hAnsi="Arial"/>
          <w:color w:val="040C28"/>
        </w:rPr>
        <w:t>S</w:t>
      </w:r>
      <w:r w:rsidRPr="00EB1D9D">
        <w:rPr>
          <w:rFonts w:ascii="Arial" w:hAnsi="Arial"/>
          <w:color w:val="040C28"/>
        </w:rPr>
        <w:t xml:space="preserve">ervice </w:t>
      </w:r>
      <w:r w:rsidR="00374CFD" w:rsidRPr="00EB1D9D">
        <w:rPr>
          <w:rFonts w:ascii="Arial" w:hAnsi="Arial"/>
          <w:color w:val="040C28"/>
        </w:rPr>
        <w:t>P</w:t>
      </w:r>
      <w:r w:rsidRPr="00EB1D9D">
        <w:rPr>
          <w:rFonts w:ascii="Arial" w:hAnsi="Arial"/>
          <w:color w:val="040C28"/>
        </w:rPr>
        <w:t>rovider (ISP).</w:t>
      </w:r>
      <w:r w:rsidR="00F97A59" w:rsidRPr="00EB1D9D">
        <w:rPr>
          <w:rFonts w:ascii="Arial" w:hAnsi="Arial"/>
          <w:color w:val="040C28"/>
        </w:rPr>
        <w:t xml:space="preserve"> </w:t>
      </w:r>
    </w:p>
    <w:p w14:paraId="69921754" w14:textId="2006A7F9" w:rsidR="004F5590" w:rsidRDefault="004F5590" w:rsidP="00EB1D9D">
      <w:pPr>
        <w:spacing w:after="394"/>
        <w:rPr>
          <w:rFonts w:asciiTheme="majorHAnsi" w:eastAsiaTheme="majorEastAsia" w:hAnsiTheme="majorHAnsi" w:cstheme="majorBidi"/>
          <w:bCs/>
          <w:color w:val="00D7BD" w:themeColor="accent1"/>
          <w:sz w:val="22"/>
        </w:rPr>
      </w:pPr>
      <w:r>
        <w:rPr>
          <w:rFonts w:asciiTheme="majorHAnsi" w:eastAsiaTheme="majorEastAsia" w:hAnsiTheme="majorHAnsi" w:cstheme="majorBidi"/>
          <w:bCs/>
          <w:color w:val="00D7BD" w:themeColor="accent1"/>
          <w:sz w:val="22"/>
        </w:rPr>
        <w:t>Data Protection relationship</w:t>
      </w:r>
    </w:p>
    <w:p w14:paraId="57044092" w14:textId="77777777" w:rsidR="00EE1843" w:rsidRDefault="004F5590" w:rsidP="00DE6A30">
      <w:pPr>
        <w:spacing w:after="394"/>
        <w:jc w:val="both"/>
        <w:rPr>
          <w:szCs w:val="20"/>
          <w:lang w:val="en-US"/>
        </w:rPr>
      </w:pPr>
      <w:r w:rsidRPr="00D164E1">
        <w:rPr>
          <w:szCs w:val="20"/>
          <w:lang w:val="en-US"/>
        </w:rPr>
        <w:t>Colt</w:t>
      </w:r>
      <w:r>
        <w:rPr>
          <w:szCs w:val="20"/>
          <w:lang w:val="en-US"/>
        </w:rPr>
        <w:t xml:space="preserve"> provides CIC services as a </w:t>
      </w:r>
      <w:r w:rsidRPr="00EB1D9D">
        <w:rPr>
          <w:szCs w:val="20"/>
          <w:lang w:val="en-US"/>
        </w:rPr>
        <w:t>telecommunications or communication service provider</w:t>
      </w:r>
      <w:r>
        <w:rPr>
          <w:szCs w:val="20"/>
          <w:lang w:val="en-US"/>
        </w:rPr>
        <w:t xml:space="preserve"> </w:t>
      </w:r>
      <w:r w:rsidRPr="00D164E1">
        <w:rPr>
          <w:szCs w:val="20"/>
          <w:lang w:val="en-US"/>
        </w:rPr>
        <w:t>to its customers</w:t>
      </w:r>
      <w:r>
        <w:rPr>
          <w:szCs w:val="20"/>
          <w:lang w:val="en-US"/>
        </w:rPr>
        <w:t xml:space="preserve"> </w:t>
      </w:r>
      <w:r w:rsidRPr="00D164E1">
        <w:rPr>
          <w:szCs w:val="20"/>
          <w:lang w:val="en-US"/>
        </w:rPr>
        <w:t>(“Customers</w:t>
      </w:r>
      <w:r>
        <w:rPr>
          <w:szCs w:val="20"/>
          <w:lang w:val="en-US"/>
        </w:rPr>
        <w:t>”) and includes in its offer</w:t>
      </w:r>
      <w:r w:rsidR="00EE1843">
        <w:rPr>
          <w:szCs w:val="20"/>
          <w:lang w:val="en-US"/>
        </w:rPr>
        <w:t xml:space="preserve"> the </w:t>
      </w:r>
      <w:proofErr w:type="spellStart"/>
      <w:r w:rsidR="00DE6A30">
        <w:rPr>
          <w:szCs w:val="20"/>
          <w:lang w:val="en-US"/>
        </w:rPr>
        <w:t>Luware</w:t>
      </w:r>
      <w:r w:rsidR="00EE1843">
        <w:rPr>
          <w:szCs w:val="20"/>
          <w:lang w:val="en-US"/>
        </w:rPr>
        <w:t>´s</w:t>
      </w:r>
      <w:proofErr w:type="spellEnd"/>
      <w:r w:rsidR="00DE6A30">
        <w:rPr>
          <w:szCs w:val="20"/>
          <w:lang w:val="en-US"/>
        </w:rPr>
        <w:t xml:space="preserve"> Nimbus</w:t>
      </w:r>
      <w:r w:rsidR="00EE1843">
        <w:rPr>
          <w:szCs w:val="20"/>
          <w:lang w:val="en-US"/>
        </w:rPr>
        <w:t xml:space="preserve"> solution</w:t>
      </w:r>
      <w:r w:rsidR="00DE6A30">
        <w:rPr>
          <w:szCs w:val="20"/>
          <w:lang w:val="en-US"/>
        </w:rPr>
        <w:t xml:space="preserve"> together with CIC as an additional option. </w:t>
      </w:r>
    </w:p>
    <w:p w14:paraId="6117AE58" w14:textId="4DC37853" w:rsidR="00DE6A30" w:rsidRPr="00F93A7F" w:rsidRDefault="00DE6A30" w:rsidP="00DE6A30">
      <w:pPr>
        <w:spacing w:after="394"/>
        <w:jc w:val="both"/>
        <w:rPr>
          <w:szCs w:val="20"/>
          <w:lang w:val="en-US"/>
        </w:rPr>
      </w:pPr>
      <w:r>
        <w:t>For any Personal Data processed by Customer and Colt in connection with this Product, such as</w:t>
      </w:r>
      <w:r w:rsidR="00EE1843">
        <w:t>: (i)</w:t>
      </w:r>
      <w:r>
        <w:t xml:space="preserve"> contact </w:t>
      </w:r>
      <w:r w:rsidR="00EE1843">
        <w:t xml:space="preserve"> </w:t>
      </w:r>
      <w:r>
        <w:t>information of each Parties</w:t>
      </w:r>
      <w:r w:rsidR="00EE1843">
        <w:t>, (ii)</w:t>
      </w:r>
      <w:r>
        <w:t xml:space="preserve"> any Personal Data of the signatories of the contracts executed by the parties or Personal Data provided by the Customer and </w:t>
      </w:r>
      <w:r w:rsidR="00024A1C">
        <w:t xml:space="preserve">(iii) </w:t>
      </w:r>
      <w:r>
        <w:t>Colt to execute the Contract and/or provide the Product/Service</w:t>
      </w:r>
      <w:r w:rsidR="00EE1843">
        <w:t xml:space="preserve">, i.e. </w:t>
      </w:r>
      <w:r w:rsidR="00EE1843" w:rsidRPr="00DF6EDE">
        <w:rPr>
          <w:color w:val="auto"/>
          <w:szCs w:val="20"/>
          <w:lang w:val="en-US"/>
        </w:rPr>
        <w:t>‘Business Contact Personal Data</w:t>
      </w:r>
      <w:r w:rsidR="00EE1843">
        <w:rPr>
          <w:color w:val="auto"/>
          <w:szCs w:val="20"/>
          <w:lang w:val="en-US"/>
        </w:rPr>
        <w:t>”</w:t>
      </w:r>
      <w:r>
        <w:t>, each party is an independent Data Controller and will comply with their respective obligations under the Data Protection Laws.</w:t>
      </w:r>
    </w:p>
    <w:p w14:paraId="39785C01" w14:textId="0E688055" w:rsidR="00DE6A30" w:rsidRDefault="00DE6A30" w:rsidP="00DE6A30">
      <w:pPr>
        <w:spacing w:after="394"/>
        <w:jc w:val="both"/>
        <w:rPr>
          <w:rFonts w:ascii="Arial" w:hAnsi="Arial" w:cs="Arial"/>
        </w:rPr>
      </w:pPr>
      <w:r>
        <w:rPr>
          <w:rFonts w:ascii="Arial" w:hAnsi="Arial" w:cs="Arial"/>
        </w:rPr>
        <w:t>T</w:t>
      </w:r>
      <w:r w:rsidRPr="00FA38EC">
        <w:rPr>
          <w:rFonts w:ascii="Arial" w:hAnsi="Arial" w:cs="Arial"/>
        </w:rPr>
        <w:t>he Customer</w:t>
      </w:r>
      <w:r>
        <w:rPr>
          <w:rFonts w:ascii="Arial" w:hAnsi="Arial" w:cs="Arial"/>
        </w:rPr>
        <w:t xml:space="preserve"> is</w:t>
      </w:r>
      <w:r w:rsidRPr="00FA38EC">
        <w:rPr>
          <w:rFonts w:ascii="Arial" w:hAnsi="Arial" w:cs="Arial"/>
        </w:rPr>
        <w:t xml:space="preserve"> Data Controller</w:t>
      </w:r>
      <w:r>
        <w:rPr>
          <w:rFonts w:ascii="Arial" w:hAnsi="Arial" w:cs="Arial"/>
        </w:rPr>
        <w:t xml:space="preserve"> of the Personal Data provided to </w:t>
      </w:r>
      <w:proofErr w:type="spellStart"/>
      <w:r>
        <w:rPr>
          <w:rFonts w:ascii="Arial" w:hAnsi="Arial" w:cs="Arial"/>
        </w:rPr>
        <w:t>Luware</w:t>
      </w:r>
      <w:proofErr w:type="spellEnd"/>
      <w:r>
        <w:rPr>
          <w:rFonts w:ascii="Arial" w:hAnsi="Arial" w:cs="Arial"/>
        </w:rPr>
        <w:t xml:space="preserve"> to provide the </w:t>
      </w:r>
      <w:proofErr w:type="spellStart"/>
      <w:r>
        <w:rPr>
          <w:rFonts w:ascii="Arial" w:hAnsi="Arial" w:cs="Arial"/>
        </w:rPr>
        <w:t>Luware’s</w:t>
      </w:r>
      <w:proofErr w:type="spellEnd"/>
      <w:r>
        <w:rPr>
          <w:rFonts w:ascii="Arial" w:hAnsi="Arial" w:cs="Arial"/>
        </w:rPr>
        <w:t xml:space="preserve"> Nimbus </w:t>
      </w:r>
      <w:r w:rsidRPr="00FA38EC">
        <w:rPr>
          <w:rFonts w:ascii="Arial" w:hAnsi="Arial" w:cs="Arial"/>
        </w:rPr>
        <w:t>Solution</w:t>
      </w:r>
      <w:r>
        <w:rPr>
          <w:rFonts w:ascii="Arial" w:hAnsi="Arial" w:cs="Arial"/>
        </w:rPr>
        <w:t>. The Customer</w:t>
      </w:r>
      <w:r w:rsidRPr="00FA38EC">
        <w:rPr>
          <w:rFonts w:ascii="Arial" w:hAnsi="Arial" w:cs="Arial"/>
        </w:rPr>
        <w:t xml:space="preserve"> acknowledges that </w:t>
      </w:r>
      <w:proofErr w:type="spellStart"/>
      <w:r>
        <w:rPr>
          <w:rFonts w:ascii="Arial" w:hAnsi="Arial" w:cs="Arial"/>
        </w:rPr>
        <w:t>Luware</w:t>
      </w:r>
      <w:proofErr w:type="spellEnd"/>
      <w:r w:rsidRPr="00FA38EC">
        <w:rPr>
          <w:rFonts w:ascii="Arial" w:hAnsi="Arial" w:cs="Arial"/>
        </w:rPr>
        <w:t xml:space="preserve"> is acting as a Data Processor for the purposes of providing the </w:t>
      </w:r>
      <w:proofErr w:type="spellStart"/>
      <w:r>
        <w:rPr>
          <w:rFonts w:ascii="Arial" w:hAnsi="Arial" w:cs="Arial"/>
        </w:rPr>
        <w:t>Luware’s</w:t>
      </w:r>
      <w:proofErr w:type="spellEnd"/>
      <w:r>
        <w:rPr>
          <w:rFonts w:ascii="Arial" w:hAnsi="Arial" w:cs="Arial"/>
        </w:rPr>
        <w:t xml:space="preserve"> Nimbus </w:t>
      </w:r>
      <w:r w:rsidRPr="00FA38EC">
        <w:rPr>
          <w:rFonts w:ascii="Arial" w:hAnsi="Arial" w:cs="Arial"/>
        </w:rPr>
        <w:t>Solution</w:t>
      </w:r>
      <w:r w:rsidR="00EE1843">
        <w:rPr>
          <w:rFonts w:ascii="Arial" w:hAnsi="Arial" w:cs="Arial"/>
        </w:rPr>
        <w:t xml:space="preserve">. A specific Data Protection Agreement between </w:t>
      </w:r>
      <w:proofErr w:type="spellStart"/>
      <w:r w:rsidR="00EE1843">
        <w:rPr>
          <w:rFonts w:ascii="Arial" w:hAnsi="Arial" w:cs="Arial"/>
        </w:rPr>
        <w:t>Luware</w:t>
      </w:r>
      <w:proofErr w:type="spellEnd"/>
      <w:r w:rsidR="00EE1843">
        <w:rPr>
          <w:rFonts w:ascii="Arial" w:hAnsi="Arial" w:cs="Arial"/>
        </w:rPr>
        <w:t xml:space="preserve"> and Customer rules such processing activity and relationship</w:t>
      </w:r>
      <w:r>
        <w:rPr>
          <w:rFonts w:ascii="Arial" w:hAnsi="Arial" w:cs="Arial"/>
        </w:rPr>
        <w:t>.</w:t>
      </w:r>
    </w:p>
    <w:p w14:paraId="60A40829" w14:textId="77777777" w:rsidR="00643EE0" w:rsidRDefault="00643EE0" w:rsidP="00643EE0">
      <w:pPr>
        <w:spacing w:after="394"/>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t>D</w:t>
      </w:r>
      <w:r>
        <w:rPr>
          <w:rFonts w:asciiTheme="majorHAnsi" w:eastAsiaTheme="majorEastAsia" w:hAnsiTheme="majorHAnsi" w:cstheme="majorBidi"/>
          <w:bCs/>
          <w:color w:val="00D7BD" w:themeColor="accent1"/>
          <w:sz w:val="22"/>
        </w:rPr>
        <w:t>a</w:t>
      </w:r>
      <w:r w:rsidRPr="00DF6EDE">
        <w:rPr>
          <w:rFonts w:asciiTheme="majorHAnsi" w:eastAsiaTheme="majorEastAsia" w:hAnsiTheme="majorHAnsi" w:cstheme="majorBidi"/>
          <w:bCs/>
          <w:color w:val="00D7BD" w:themeColor="accent1"/>
          <w:sz w:val="22"/>
        </w:rPr>
        <w:t xml:space="preserve">ta Protection </w:t>
      </w:r>
      <w:r>
        <w:rPr>
          <w:rFonts w:asciiTheme="majorHAnsi" w:eastAsiaTheme="majorEastAsia" w:hAnsiTheme="majorHAnsi" w:cstheme="majorBidi"/>
          <w:bCs/>
          <w:color w:val="00D7BD" w:themeColor="accent1"/>
          <w:sz w:val="22"/>
        </w:rPr>
        <w:t xml:space="preserve">Colt’s </w:t>
      </w:r>
      <w:r w:rsidRPr="00DF6EDE">
        <w:rPr>
          <w:rFonts w:asciiTheme="majorHAnsi" w:eastAsiaTheme="majorEastAsia" w:hAnsiTheme="majorHAnsi" w:cstheme="majorBidi"/>
          <w:bCs/>
          <w:color w:val="00D7BD" w:themeColor="accent1"/>
          <w:sz w:val="22"/>
        </w:rPr>
        <w:t>Role</w:t>
      </w:r>
    </w:p>
    <w:p w14:paraId="1BA0FDA5" w14:textId="77777777" w:rsidR="00DE6A30" w:rsidRDefault="00DE6A30" w:rsidP="00DE6A30">
      <w:pPr>
        <w:spacing w:after="394"/>
        <w:jc w:val="both"/>
        <w:rPr>
          <w:lang w:val="en-US"/>
        </w:rPr>
      </w:pPr>
      <w:r w:rsidRPr="00DF6EDE">
        <w:rPr>
          <w:szCs w:val="20"/>
          <w:lang w:val="en-US"/>
        </w:rPr>
        <w:t xml:space="preserve">As a Business to Business (B2B) Telecommunication service provider, Colt processes </w:t>
      </w:r>
      <w:r w:rsidRPr="00DF6EDE">
        <w:rPr>
          <w:color w:val="auto"/>
          <w:szCs w:val="20"/>
          <w:lang w:val="en-US"/>
        </w:rPr>
        <w:t xml:space="preserve">‘Business Contact Personal Data of Customer’s personnel’ </w:t>
      </w:r>
      <w:r>
        <w:rPr>
          <w:color w:val="auto"/>
          <w:szCs w:val="20"/>
          <w:lang w:val="en-US"/>
        </w:rPr>
        <w:t xml:space="preserve">as personal Data Controller for </w:t>
      </w:r>
      <w:r w:rsidRPr="00802864">
        <w:rPr>
          <w:lang w:val="en-US"/>
        </w:rPr>
        <w:t>the execution of the contract with the Customer fo</w:t>
      </w:r>
      <w:r>
        <w:rPr>
          <w:lang w:val="en-US"/>
        </w:rPr>
        <w:t>r</w:t>
      </w:r>
      <w:r w:rsidRPr="00802864">
        <w:rPr>
          <w:lang w:val="en-US"/>
        </w:rPr>
        <w:t xml:space="preserve"> </w:t>
      </w:r>
      <w:r>
        <w:rPr>
          <w:lang w:val="en-US"/>
        </w:rPr>
        <w:t xml:space="preserve">administration purposes, to comply with </w:t>
      </w:r>
      <w:r w:rsidRPr="00802864">
        <w:rPr>
          <w:lang w:val="en-US"/>
        </w:rPr>
        <w:t xml:space="preserve">certain legal </w:t>
      </w:r>
      <w:r>
        <w:rPr>
          <w:lang w:val="en-US"/>
        </w:rPr>
        <w:t xml:space="preserve">compliance </w:t>
      </w:r>
      <w:r w:rsidRPr="00802864">
        <w:rPr>
          <w:lang w:val="en-US"/>
        </w:rPr>
        <w:t>obligations</w:t>
      </w:r>
      <w:r>
        <w:rPr>
          <w:lang w:val="en-US"/>
        </w:rPr>
        <w:t xml:space="preserve"> (tax, etc.)</w:t>
      </w:r>
      <w:r w:rsidRPr="00802864">
        <w:rPr>
          <w:lang w:val="en-US"/>
        </w:rPr>
        <w:t xml:space="preserve"> </w:t>
      </w:r>
      <w:r>
        <w:rPr>
          <w:lang w:val="en-US"/>
        </w:rPr>
        <w:t>including the ones requested as a Telecom Service Provider.</w:t>
      </w:r>
    </w:p>
    <w:p w14:paraId="652C59AB" w14:textId="3404742F" w:rsidR="00643EE0" w:rsidRPr="007C6C78" w:rsidRDefault="00643EE0" w:rsidP="00643EE0">
      <w:pPr>
        <w:spacing w:after="394"/>
        <w:jc w:val="both"/>
        <w:rPr>
          <w:rFonts w:asciiTheme="majorHAnsi" w:eastAsiaTheme="majorEastAsia" w:hAnsiTheme="majorHAnsi" w:cstheme="majorBidi"/>
          <w:bCs/>
          <w:color w:val="00D7BD" w:themeColor="accent1"/>
          <w:sz w:val="22"/>
        </w:rPr>
      </w:pPr>
      <w:r w:rsidRPr="007C6C78">
        <w:rPr>
          <w:rFonts w:asciiTheme="majorHAnsi" w:eastAsiaTheme="majorEastAsia" w:hAnsiTheme="majorHAnsi" w:cstheme="majorBidi"/>
          <w:bCs/>
          <w:color w:val="00D7BD" w:themeColor="accent1"/>
          <w:sz w:val="22"/>
        </w:rPr>
        <w:t>Legal basis and purposes of the Personal Data processing</w:t>
      </w:r>
    </w:p>
    <w:tbl>
      <w:tblPr>
        <w:tblStyle w:val="TableGrid"/>
        <w:tblW w:w="0" w:type="auto"/>
        <w:tblLook w:val="04A0" w:firstRow="1" w:lastRow="0" w:firstColumn="1" w:lastColumn="0" w:noHBand="0" w:noVBand="1"/>
      </w:tblPr>
      <w:tblGrid>
        <w:gridCol w:w="1885"/>
        <w:gridCol w:w="7851"/>
      </w:tblGrid>
      <w:tr w:rsidR="00643EE0" w:rsidRPr="001955BE" w14:paraId="051F68FE" w14:textId="77777777" w:rsidTr="00DE6A30">
        <w:tc>
          <w:tcPr>
            <w:tcW w:w="1885" w:type="dxa"/>
          </w:tcPr>
          <w:p w14:paraId="7178D540" w14:textId="77777777" w:rsidR="00643EE0" w:rsidRPr="007C6C78" w:rsidRDefault="00643EE0" w:rsidP="002620A3">
            <w:pPr>
              <w:rPr>
                <w:color w:val="auto"/>
                <w:szCs w:val="20"/>
                <w:lang w:val="en-US"/>
              </w:rPr>
            </w:pPr>
            <w:r>
              <w:rPr>
                <w:color w:val="auto"/>
                <w:szCs w:val="20"/>
                <w:lang w:val="en-US"/>
              </w:rPr>
              <w:t>Contract Execution</w:t>
            </w:r>
          </w:p>
        </w:tc>
        <w:tc>
          <w:tcPr>
            <w:tcW w:w="7851" w:type="dxa"/>
            <w:shd w:val="clear" w:color="auto" w:fill="auto"/>
          </w:tcPr>
          <w:p w14:paraId="4399FA2D" w14:textId="30D2C9FF" w:rsidR="00643EE0" w:rsidRPr="00EB1D9D" w:rsidRDefault="00DE6A30" w:rsidP="00DE6A30">
            <w:pPr>
              <w:rPr>
                <w:color w:val="auto"/>
                <w:lang w:val="en-US"/>
              </w:rPr>
            </w:pPr>
            <w:r w:rsidRPr="007C6C78">
              <w:rPr>
                <w:color w:val="auto"/>
                <w:szCs w:val="20"/>
                <w:lang w:val="en-US"/>
              </w:rPr>
              <w:t>Execution of the contract between Colt and Customer,</w:t>
            </w:r>
            <w:r>
              <w:rPr>
                <w:color w:val="auto"/>
                <w:szCs w:val="20"/>
                <w:lang w:val="en-US"/>
              </w:rPr>
              <w:t xml:space="preserve"> for administration purposes. </w:t>
            </w:r>
          </w:p>
        </w:tc>
      </w:tr>
      <w:tr w:rsidR="00643EE0" w:rsidRPr="001955BE" w14:paraId="0B8ACB4C" w14:textId="77777777" w:rsidTr="00DE6A30">
        <w:tc>
          <w:tcPr>
            <w:tcW w:w="1885" w:type="dxa"/>
          </w:tcPr>
          <w:p w14:paraId="210B872E" w14:textId="77777777" w:rsidR="00643EE0" w:rsidRPr="007C6C78" w:rsidRDefault="00643EE0" w:rsidP="002620A3">
            <w:pPr>
              <w:rPr>
                <w:color w:val="auto"/>
                <w:szCs w:val="20"/>
                <w:lang w:val="en-US"/>
              </w:rPr>
            </w:pPr>
            <w:r>
              <w:rPr>
                <w:color w:val="auto"/>
                <w:szCs w:val="20"/>
                <w:lang w:val="en-US"/>
              </w:rPr>
              <w:t>Legal obligation</w:t>
            </w:r>
          </w:p>
        </w:tc>
        <w:tc>
          <w:tcPr>
            <w:tcW w:w="7851" w:type="dxa"/>
            <w:shd w:val="clear" w:color="auto" w:fill="auto"/>
          </w:tcPr>
          <w:p w14:paraId="524DBE4F" w14:textId="77777777" w:rsidR="00643EE0" w:rsidRPr="007C6C78" w:rsidRDefault="00643EE0" w:rsidP="002620A3">
            <w:pPr>
              <w:rPr>
                <w:color w:val="auto"/>
                <w:szCs w:val="20"/>
                <w:lang w:val="en-US"/>
              </w:rPr>
            </w:pPr>
            <w:r w:rsidRPr="007C6C78">
              <w:rPr>
                <w:color w:val="auto"/>
                <w:szCs w:val="20"/>
                <w:lang w:val="en-US"/>
              </w:rPr>
              <w:t>Legal obligations, such as regulatory, legal interception, accountability, commercial and tax obligations</w:t>
            </w:r>
          </w:p>
        </w:tc>
      </w:tr>
      <w:tr w:rsidR="00643EE0" w:rsidRPr="001955BE" w14:paraId="6BCF6476" w14:textId="77777777" w:rsidTr="00DE6A30">
        <w:tc>
          <w:tcPr>
            <w:tcW w:w="1885" w:type="dxa"/>
          </w:tcPr>
          <w:p w14:paraId="66A5D9FB" w14:textId="77777777" w:rsidR="00643EE0" w:rsidRPr="007C6C78" w:rsidRDefault="00643EE0" w:rsidP="002620A3">
            <w:pPr>
              <w:rPr>
                <w:color w:val="auto"/>
                <w:szCs w:val="20"/>
                <w:lang w:val="en-US"/>
              </w:rPr>
            </w:pPr>
            <w:r>
              <w:rPr>
                <w:color w:val="auto"/>
                <w:szCs w:val="20"/>
                <w:lang w:val="en-US"/>
              </w:rPr>
              <w:t>Legitimate Interest</w:t>
            </w:r>
          </w:p>
        </w:tc>
        <w:tc>
          <w:tcPr>
            <w:tcW w:w="7851" w:type="dxa"/>
            <w:shd w:val="clear" w:color="auto" w:fill="auto"/>
          </w:tcPr>
          <w:p w14:paraId="03A854F1" w14:textId="77777777" w:rsidR="00643EE0" w:rsidRPr="007C6C78" w:rsidRDefault="00643EE0" w:rsidP="002620A3">
            <w:pPr>
              <w:rPr>
                <w:color w:val="auto"/>
                <w:szCs w:val="20"/>
                <w:lang w:val="en-US"/>
              </w:rPr>
            </w:pPr>
            <w:r>
              <w:rPr>
                <w:color w:val="auto"/>
                <w:szCs w:val="20"/>
                <w:lang w:val="en-US"/>
              </w:rPr>
              <w:t>E</w:t>
            </w:r>
            <w:r w:rsidRPr="007C6C78">
              <w:rPr>
                <w:color w:val="auto"/>
                <w:szCs w:val="20"/>
                <w:lang w:val="en-US"/>
              </w:rPr>
              <w:t>nsure the security of the network</w:t>
            </w:r>
          </w:p>
        </w:tc>
      </w:tr>
    </w:tbl>
    <w:p w14:paraId="0E4DE494" w14:textId="77777777" w:rsidR="00643EE0" w:rsidRPr="00EB1D9D" w:rsidRDefault="00643EE0" w:rsidP="00EB1D9D">
      <w:pPr>
        <w:spacing w:after="394"/>
        <w:jc w:val="both"/>
      </w:pPr>
    </w:p>
    <w:p w14:paraId="5D46AFD8" w14:textId="321FA960" w:rsidR="00643EE0" w:rsidRPr="00DF6EDE" w:rsidRDefault="00643EE0" w:rsidP="00643EE0">
      <w:pPr>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t>Categories of Personal Data processed and type of Personal Data</w:t>
      </w:r>
    </w:p>
    <w:tbl>
      <w:tblPr>
        <w:tblStyle w:val="TableGrid"/>
        <w:tblW w:w="0" w:type="auto"/>
        <w:tblLook w:val="04A0" w:firstRow="1" w:lastRow="0" w:firstColumn="1" w:lastColumn="0" w:noHBand="0" w:noVBand="1"/>
      </w:tblPr>
      <w:tblGrid>
        <w:gridCol w:w="9715"/>
      </w:tblGrid>
      <w:tr w:rsidR="00643EE0" w:rsidRPr="00DF6EDE" w14:paraId="319BD86D" w14:textId="77777777" w:rsidTr="002620A3">
        <w:tc>
          <w:tcPr>
            <w:tcW w:w="9715" w:type="dxa"/>
          </w:tcPr>
          <w:p w14:paraId="7BD4E681" w14:textId="5C4634B6" w:rsidR="00643EE0" w:rsidRPr="00DF6EDE" w:rsidRDefault="00643EE0" w:rsidP="002620A3">
            <w:pPr>
              <w:rPr>
                <w:szCs w:val="20"/>
                <w:lang w:val="en-US"/>
              </w:rPr>
            </w:pPr>
            <w:r w:rsidRPr="00DF6EDE">
              <w:rPr>
                <w:szCs w:val="20"/>
                <w:lang w:val="en-US"/>
              </w:rPr>
              <w:t>Business contact data (Job title, name, last name, ID number, company phone number, company mobile number, company email, signature)</w:t>
            </w:r>
            <w:r w:rsidR="00DE6A30">
              <w:rPr>
                <w:szCs w:val="20"/>
                <w:lang w:val="en-US"/>
              </w:rPr>
              <w:t xml:space="preserve"> for administration purposes.</w:t>
            </w:r>
            <w:r w:rsidRPr="00DF6EDE">
              <w:rPr>
                <w:szCs w:val="20"/>
                <w:lang w:val="en-US"/>
              </w:rPr>
              <w:t xml:space="preserve"> </w:t>
            </w:r>
          </w:p>
        </w:tc>
      </w:tr>
    </w:tbl>
    <w:p w14:paraId="6E7D3C2B" w14:textId="77777777" w:rsidR="00F97A59" w:rsidRDefault="00F97A59" w:rsidP="00643EE0">
      <w:pPr>
        <w:spacing w:after="394"/>
        <w:rPr>
          <w:rFonts w:asciiTheme="majorHAnsi" w:eastAsiaTheme="majorEastAsia" w:hAnsiTheme="majorHAnsi" w:cstheme="majorBidi"/>
          <w:bCs/>
          <w:color w:val="00D7BD" w:themeColor="accent1"/>
          <w:sz w:val="22"/>
        </w:rPr>
      </w:pPr>
    </w:p>
    <w:p w14:paraId="7380859D" w14:textId="6A9B9A59" w:rsidR="00643EE0" w:rsidRPr="00DF6EDE" w:rsidRDefault="00643EE0" w:rsidP="00643EE0">
      <w:pPr>
        <w:spacing w:after="394"/>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t>Categories of data subjects</w:t>
      </w:r>
    </w:p>
    <w:tbl>
      <w:tblPr>
        <w:tblStyle w:val="TableGrid"/>
        <w:tblW w:w="9805" w:type="dxa"/>
        <w:tblLook w:val="04A0" w:firstRow="1" w:lastRow="0" w:firstColumn="1" w:lastColumn="0" w:noHBand="0" w:noVBand="1"/>
      </w:tblPr>
      <w:tblGrid>
        <w:gridCol w:w="9805"/>
      </w:tblGrid>
      <w:tr w:rsidR="00643EE0" w:rsidRPr="00DF6EDE" w14:paraId="31A96075" w14:textId="77777777" w:rsidTr="002620A3">
        <w:tc>
          <w:tcPr>
            <w:tcW w:w="9805" w:type="dxa"/>
          </w:tcPr>
          <w:p w14:paraId="2492E008" w14:textId="64AF57B4" w:rsidR="00643EE0" w:rsidRPr="00DF6EDE" w:rsidRDefault="00DE6A30" w:rsidP="002620A3">
            <w:pPr>
              <w:rPr>
                <w:szCs w:val="20"/>
                <w:lang w:val="en-US"/>
              </w:rPr>
            </w:pPr>
            <w:r w:rsidRPr="00DF6EDE">
              <w:rPr>
                <w:szCs w:val="20"/>
                <w:lang w:val="en-US"/>
              </w:rPr>
              <w:t>Colt and Customer’s employees</w:t>
            </w:r>
            <w:r>
              <w:rPr>
                <w:szCs w:val="20"/>
                <w:lang w:val="en-US"/>
              </w:rPr>
              <w:t xml:space="preserve"> contact data for administration purposes. </w:t>
            </w:r>
            <w:r w:rsidRPr="00DF6EDE">
              <w:rPr>
                <w:szCs w:val="20"/>
                <w:lang w:val="en-US"/>
              </w:rPr>
              <w:t xml:space="preserve"> </w:t>
            </w:r>
          </w:p>
        </w:tc>
      </w:tr>
    </w:tbl>
    <w:p w14:paraId="49E64245" w14:textId="77777777" w:rsidR="00643EE0" w:rsidRDefault="00643EE0" w:rsidP="00643EE0">
      <w:pPr>
        <w:spacing w:after="394"/>
        <w:rPr>
          <w:rFonts w:asciiTheme="majorHAnsi" w:eastAsiaTheme="majorEastAsia" w:hAnsiTheme="majorHAnsi" w:cstheme="majorBidi"/>
          <w:bCs/>
          <w:color w:val="00D7BD" w:themeColor="accent1"/>
          <w:sz w:val="22"/>
        </w:rPr>
      </w:pPr>
    </w:p>
    <w:p w14:paraId="21891BC6" w14:textId="77777777" w:rsidR="00643EE0" w:rsidRPr="00DF6EDE" w:rsidRDefault="00643EE0" w:rsidP="00643EE0">
      <w:pPr>
        <w:spacing w:after="394"/>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t>Duration of the Processing</w:t>
      </w:r>
      <w:r>
        <w:rPr>
          <w:rFonts w:asciiTheme="majorHAnsi" w:eastAsiaTheme="majorEastAsia" w:hAnsiTheme="majorHAnsi" w:cstheme="majorBidi"/>
          <w:bCs/>
          <w:color w:val="00D7BD" w:themeColor="accent1"/>
          <w:sz w:val="22"/>
        </w:rPr>
        <w:t xml:space="preserve">  </w:t>
      </w:r>
    </w:p>
    <w:tbl>
      <w:tblPr>
        <w:tblStyle w:val="TableGrid"/>
        <w:tblW w:w="9805" w:type="dxa"/>
        <w:tblLook w:val="04A0" w:firstRow="1" w:lastRow="0" w:firstColumn="1" w:lastColumn="0" w:noHBand="0" w:noVBand="1"/>
      </w:tblPr>
      <w:tblGrid>
        <w:gridCol w:w="9805"/>
      </w:tblGrid>
      <w:tr w:rsidR="00643EE0" w:rsidRPr="00DF6EDE" w14:paraId="76BCF71D" w14:textId="77777777" w:rsidTr="002620A3">
        <w:tc>
          <w:tcPr>
            <w:tcW w:w="9805" w:type="dxa"/>
          </w:tcPr>
          <w:p w14:paraId="23FB3214" w14:textId="77777777" w:rsidR="00643EE0" w:rsidRPr="00DF6EDE" w:rsidRDefault="00643EE0" w:rsidP="002620A3">
            <w:pPr>
              <w:rPr>
                <w:szCs w:val="20"/>
                <w:highlight w:val="yellow"/>
                <w:lang w:val="en-US"/>
              </w:rPr>
            </w:pPr>
            <w:r w:rsidRPr="00DF6EDE">
              <w:rPr>
                <w:szCs w:val="20"/>
                <w:lang w:val="en-US"/>
              </w:rPr>
              <w:t>Personal data is retained no longer than the minimum time needed to comply with tax and legal obligations and enforce our Service agreements, according to legal, tax and statutory requirements specified under the applicable laws and regulations.</w:t>
            </w:r>
          </w:p>
        </w:tc>
      </w:tr>
    </w:tbl>
    <w:p w14:paraId="4A61092C" w14:textId="77777777" w:rsidR="00643EE0" w:rsidRPr="00600490" w:rsidRDefault="00643EE0" w:rsidP="00643EE0">
      <w:pPr>
        <w:rPr>
          <w:lang w:val="en-US"/>
        </w:rPr>
      </w:pPr>
    </w:p>
    <w:p w14:paraId="07A9BDB8" w14:textId="6CAC0B39" w:rsidR="00643EE0" w:rsidRDefault="00643EE0" w:rsidP="00643EE0">
      <w:pPr>
        <w:pStyle w:val="Heading1"/>
        <w:ind w:left="-5"/>
        <w:rPr>
          <w:sz w:val="22"/>
          <w:szCs w:val="22"/>
        </w:rPr>
      </w:pPr>
      <w:r w:rsidRPr="00A37863">
        <w:rPr>
          <w:sz w:val="22"/>
          <w:szCs w:val="22"/>
        </w:rPr>
        <w:t xml:space="preserve">Locations where personal data is processed and stored  </w:t>
      </w:r>
    </w:p>
    <w:p w14:paraId="1F378A36" w14:textId="77777777" w:rsidR="00EB1D9D" w:rsidRPr="00EB1D9D" w:rsidRDefault="00EB1D9D" w:rsidP="00EB1D9D"/>
    <w:tbl>
      <w:tblPr>
        <w:tblStyle w:val="TableGrid0"/>
        <w:tblW w:w="9698" w:type="dxa"/>
        <w:tblInd w:w="1" w:type="dxa"/>
        <w:tblCellMar>
          <w:top w:w="43" w:type="dxa"/>
          <w:left w:w="143" w:type="dxa"/>
          <w:right w:w="111" w:type="dxa"/>
        </w:tblCellMar>
        <w:tblLook w:val="04A0" w:firstRow="1" w:lastRow="0" w:firstColumn="1" w:lastColumn="0" w:noHBand="0" w:noVBand="1"/>
      </w:tblPr>
      <w:tblGrid>
        <w:gridCol w:w="1848"/>
        <w:gridCol w:w="2277"/>
        <w:gridCol w:w="1426"/>
        <w:gridCol w:w="4147"/>
      </w:tblGrid>
      <w:tr w:rsidR="00DE6A30" w14:paraId="72E735BC" w14:textId="77777777" w:rsidTr="00DE6A30">
        <w:trPr>
          <w:trHeight w:val="958"/>
        </w:trPr>
        <w:tc>
          <w:tcPr>
            <w:tcW w:w="1996"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15E0026E" w14:textId="5F9C184D" w:rsidR="00643EE0" w:rsidRPr="00BC7682" w:rsidRDefault="00643EE0" w:rsidP="002620A3">
            <w:pPr>
              <w:spacing w:after="0" w:line="259" w:lineRule="auto"/>
              <w:rPr>
                <w:rFonts w:asciiTheme="majorHAnsi" w:hAnsiTheme="majorHAnsi" w:cstheme="majorHAnsi"/>
                <w:bCs/>
              </w:rPr>
            </w:pPr>
            <w:r w:rsidRPr="00BC7682">
              <w:rPr>
                <w:rFonts w:asciiTheme="majorHAnsi" w:eastAsia="Arial" w:hAnsiTheme="majorHAnsi" w:cstheme="majorHAnsi"/>
                <w:bCs/>
                <w:color w:val="FFFFFF"/>
              </w:rPr>
              <w:t xml:space="preserve">Organizations with authorized access to </w:t>
            </w:r>
            <w:r w:rsidR="00B24312">
              <w:rPr>
                <w:rFonts w:asciiTheme="majorHAnsi" w:eastAsia="Arial" w:hAnsiTheme="majorHAnsi" w:cstheme="majorHAnsi"/>
                <w:bCs/>
                <w:color w:val="FFFFFF"/>
              </w:rPr>
              <w:t>C</w:t>
            </w:r>
            <w:r w:rsidRPr="00BC7682">
              <w:rPr>
                <w:rFonts w:asciiTheme="majorHAnsi" w:eastAsia="Arial" w:hAnsiTheme="majorHAnsi" w:cstheme="majorHAnsi"/>
                <w:bCs/>
                <w:color w:val="FFFFFF"/>
              </w:rPr>
              <w:t>ustomer</w:t>
            </w:r>
            <w:r w:rsidR="00B24312">
              <w:rPr>
                <w:rFonts w:asciiTheme="majorHAnsi" w:eastAsia="Arial" w:hAnsiTheme="majorHAnsi" w:cstheme="majorHAnsi"/>
                <w:bCs/>
                <w:color w:val="FFFFFF"/>
              </w:rPr>
              <w:t>´s Personal</w:t>
            </w:r>
            <w:r w:rsidRPr="00BC7682">
              <w:rPr>
                <w:rFonts w:asciiTheme="majorHAnsi" w:eastAsia="Arial" w:hAnsiTheme="majorHAnsi" w:cstheme="majorHAnsi"/>
                <w:bCs/>
                <w:color w:val="FFFFFF"/>
              </w:rPr>
              <w:t xml:space="preserve"> data </w:t>
            </w:r>
          </w:p>
        </w:tc>
        <w:tc>
          <w:tcPr>
            <w:tcW w:w="1766"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4DC9ED7B" w14:textId="77777777" w:rsidR="00643EE0" w:rsidRPr="00BC7682" w:rsidRDefault="00643EE0" w:rsidP="002620A3">
            <w:pPr>
              <w:spacing w:after="0" w:line="259" w:lineRule="auto"/>
              <w:rPr>
                <w:rFonts w:asciiTheme="majorHAnsi" w:hAnsiTheme="majorHAnsi" w:cstheme="majorHAnsi"/>
                <w:bCs/>
              </w:rPr>
            </w:pPr>
            <w:r w:rsidRPr="00BC7682">
              <w:rPr>
                <w:rFonts w:asciiTheme="majorHAnsi" w:eastAsia="Arial" w:hAnsiTheme="majorHAnsi" w:cstheme="majorHAnsi"/>
                <w:bCs/>
                <w:color w:val="FFFFFF"/>
              </w:rPr>
              <w:t xml:space="preserve">Storage location </w:t>
            </w:r>
          </w:p>
        </w:tc>
        <w:tc>
          <w:tcPr>
            <w:tcW w:w="1491"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56A87860" w14:textId="77777777" w:rsidR="00643EE0" w:rsidRPr="00BC7682" w:rsidRDefault="00643EE0" w:rsidP="002620A3">
            <w:pPr>
              <w:spacing w:after="0" w:line="259" w:lineRule="auto"/>
              <w:ind w:left="1"/>
              <w:rPr>
                <w:rFonts w:asciiTheme="majorHAnsi" w:hAnsiTheme="majorHAnsi" w:cstheme="majorHAnsi"/>
                <w:bCs/>
              </w:rPr>
            </w:pPr>
            <w:r w:rsidRPr="00BC7682">
              <w:rPr>
                <w:rFonts w:asciiTheme="majorHAnsi" w:eastAsia="Arial" w:hAnsiTheme="majorHAnsi" w:cstheme="majorHAnsi"/>
                <w:bCs/>
                <w:color w:val="FFFFFF"/>
              </w:rPr>
              <w:t xml:space="preserve">Access location </w:t>
            </w:r>
          </w:p>
        </w:tc>
        <w:tc>
          <w:tcPr>
            <w:tcW w:w="4445"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181EDBE9" w14:textId="77777777" w:rsidR="00643EE0" w:rsidRPr="00BC7682" w:rsidRDefault="00643EE0" w:rsidP="002620A3">
            <w:pPr>
              <w:spacing w:after="0" w:line="259" w:lineRule="auto"/>
              <w:ind w:left="1"/>
              <w:rPr>
                <w:rFonts w:asciiTheme="majorHAnsi" w:eastAsia="Arial" w:hAnsiTheme="majorHAnsi" w:cstheme="majorHAnsi"/>
                <w:bCs/>
                <w:color w:val="FFFFFF"/>
              </w:rPr>
            </w:pPr>
            <w:r w:rsidRPr="009E5A91">
              <w:rPr>
                <w:rFonts w:eastAsia="Calibri" w:cs="Arial"/>
                <w:color w:val="FFFFFF" w:themeColor="background1"/>
              </w:rPr>
              <w:t xml:space="preserve">Legal Measures (BCRs, DPA, SCC, Privacy Statements, </w:t>
            </w:r>
            <w:proofErr w:type="spellStart"/>
            <w:r w:rsidRPr="009E5A91">
              <w:rPr>
                <w:rFonts w:eastAsia="Calibri" w:cs="Arial"/>
                <w:color w:val="FFFFFF" w:themeColor="background1"/>
              </w:rPr>
              <w:t>etc</w:t>
            </w:r>
            <w:proofErr w:type="spellEnd"/>
            <w:r w:rsidRPr="009E5A91">
              <w:rPr>
                <w:rFonts w:eastAsia="Calibri" w:cs="Arial"/>
                <w:color w:val="FFFFFF" w:themeColor="background1"/>
              </w:rPr>
              <w:t>)</w:t>
            </w:r>
          </w:p>
        </w:tc>
      </w:tr>
      <w:tr w:rsidR="00EB1D9D" w14:paraId="24CA22C1" w14:textId="77777777" w:rsidTr="00EB1D9D">
        <w:trPr>
          <w:trHeight w:val="613"/>
        </w:trPr>
        <w:tc>
          <w:tcPr>
            <w:tcW w:w="1996" w:type="dxa"/>
            <w:tcBorders>
              <w:top w:val="single" w:sz="4" w:space="0" w:color="000000"/>
              <w:left w:val="single" w:sz="4" w:space="0" w:color="000000"/>
              <w:bottom w:val="single" w:sz="4" w:space="0" w:color="000000"/>
              <w:right w:val="single" w:sz="4" w:space="0" w:color="000000"/>
            </w:tcBorders>
          </w:tcPr>
          <w:p w14:paraId="2B056110" w14:textId="77777777" w:rsidR="00DE6A30" w:rsidRDefault="00DE6A30" w:rsidP="00DE6A30">
            <w:pPr>
              <w:spacing w:after="0" w:line="259" w:lineRule="auto"/>
            </w:pPr>
            <w:r w:rsidRPr="009E5A91">
              <w:rPr>
                <w:rFonts w:eastAsia="Calibri" w:cs="Arial"/>
              </w:rPr>
              <w:t>Colt Group</w:t>
            </w:r>
          </w:p>
          <w:p w14:paraId="08696EB8" w14:textId="77777777" w:rsidR="00DE6A30" w:rsidRDefault="00DE6A30" w:rsidP="00DE6A30">
            <w:pPr>
              <w:spacing w:after="0" w:line="259" w:lineRule="auto"/>
            </w:pPr>
          </w:p>
          <w:p w14:paraId="4FC93C65" w14:textId="77777777" w:rsidR="00DE6A30" w:rsidRDefault="00DE6A30" w:rsidP="00DE6A30">
            <w:pPr>
              <w:spacing w:after="0" w:line="259" w:lineRule="auto"/>
            </w:pPr>
            <w: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761EC754" w14:textId="348EA799" w:rsidR="00DE6A30" w:rsidRPr="006E3F1B" w:rsidRDefault="00DE6A30" w:rsidP="006E3F1B">
            <w:r>
              <w:rPr>
                <w:rFonts w:eastAsia="Calibri" w:cs="Arial"/>
              </w:rPr>
              <w:t xml:space="preserve">Several countries globally. </w:t>
            </w:r>
            <w:r w:rsidR="006E3F1B" w:rsidRPr="006E3F1B">
              <w:rPr>
                <w:rFonts w:eastAsia="Calibri" w:cs="Arial"/>
              </w:rPr>
              <w:t xml:space="preserve">Colt servers are located in the </w:t>
            </w:r>
            <w:r w:rsidR="006E3F1B" w:rsidRPr="006E3F1B">
              <w:t>UK &amp; EU (Netherland/Frankfurt).</w:t>
            </w:r>
          </w:p>
        </w:tc>
        <w:tc>
          <w:tcPr>
            <w:tcW w:w="1491" w:type="dxa"/>
            <w:tcBorders>
              <w:top w:val="single" w:sz="4" w:space="0" w:color="000000"/>
              <w:left w:val="single" w:sz="4" w:space="0" w:color="000000"/>
              <w:bottom w:val="single" w:sz="4" w:space="0" w:color="000000"/>
              <w:right w:val="single" w:sz="4" w:space="0" w:color="000000"/>
            </w:tcBorders>
          </w:tcPr>
          <w:p w14:paraId="15D1DD26" w14:textId="0609C4F4" w:rsidR="00DE6A30" w:rsidRDefault="00DE6A30" w:rsidP="00EB1D9D">
            <w:r w:rsidRPr="00EB1D9D">
              <w:rPr>
                <w:szCs w:val="20"/>
              </w:rPr>
              <w:t>Several countries globally.</w:t>
            </w:r>
          </w:p>
        </w:tc>
        <w:tc>
          <w:tcPr>
            <w:tcW w:w="4445" w:type="dxa"/>
            <w:tcBorders>
              <w:top w:val="single" w:sz="4" w:space="0" w:color="000000"/>
              <w:left w:val="single" w:sz="4" w:space="0" w:color="000000"/>
              <w:bottom w:val="single" w:sz="4" w:space="0" w:color="000000"/>
              <w:right w:val="single" w:sz="4" w:space="0" w:color="000000"/>
            </w:tcBorders>
          </w:tcPr>
          <w:p w14:paraId="2F1DC98E" w14:textId="77777777" w:rsidR="00DE6A30" w:rsidRDefault="00DE6A30" w:rsidP="00DE6A30">
            <w:pPr>
              <w:spacing w:after="0" w:line="259" w:lineRule="auto"/>
              <w:ind w:left="1"/>
              <w:rPr>
                <w:rFonts w:ascii="Arial" w:eastAsia="Arial" w:hAnsi="Arial" w:cs="Arial"/>
                <w:b/>
              </w:rPr>
            </w:pPr>
            <w:r w:rsidRPr="009E5A91">
              <w:rPr>
                <w:rFonts w:eastAsia="Calibri" w:cs="Arial"/>
              </w:rPr>
              <w:t>European Binding Corporate Rules (BCRs) as Controller and Processor</w:t>
            </w:r>
          </w:p>
        </w:tc>
      </w:tr>
      <w:tr w:rsidR="00EB1D9D" w:rsidRPr="009B1D4C" w14:paraId="34756E94" w14:textId="77777777" w:rsidTr="00EB1D9D">
        <w:trPr>
          <w:trHeight w:val="613"/>
        </w:trPr>
        <w:tc>
          <w:tcPr>
            <w:tcW w:w="1996" w:type="dxa"/>
            <w:tcBorders>
              <w:top w:val="single" w:sz="4" w:space="0" w:color="000000"/>
              <w:left w:val="single" w:sz="4" w:space="0" w:color="000000"/>
              <w:bottom w:val="single" w:sz="4" w:space="0" w:color="000000"/>
              <w:right w:val="single" w:sz="4" w:space="0" w:color="000000"/>
            </w:tcBorders>
          </w:tcPr>
          <w:p w14:paraId="609EFB2A" w14:textId="7F86A7DE" w:rsidR="00DE6A30" w:rsidRPr="009E5A91" w:rsidRDefault="00DE6A30" w:rsidP="00DE6A30">
            <w:pPr>
              <w:spacing w:after="0" w:line="259" w:lineRule="auto"/>
              <w:rPr>
                <w:rFonts w:eastAsia="Calibri" w:cs="Arial"/>
              </w:rPr>
            </w:pPr>
            <w:proofErr w:type="spellStart"/>
            <w:r>
              <w:rPr>
                <w:rFonts w:eastAsia="Calibri" w:cs="Arial"/>
              </w:rPr>
              <w:t>Luware</w:t>
            </w:r>
            <w:proofErr w:type="spellEnd"/>
          </w:p>
        </w:tc>
        <w:tc>
          <w:tcPr>
            <w:tcW w:w="1766" w:type="dxa"/>
            <w:tcBorders>
              <w:top w:val="single" w:sz="4" w:space="0" w:color="000000"/>
              <w:left w:val="single" w:sz="4" w:space="0" w:color="000000"/>
              <w:bottom w:val="single" w:sz="4" w:space="0" w:color="000000"/>
              <w:right w:val="single" w:sz="4" w:space="0" w:color="000000"/>
            </w:tcBorders>
          </w:tcPr>
          <w:p w14:paraId="4E16567E" w14:textId="00D01B91" w:rsidR="00DE6A30" w:rsidRDefault="00DE6A30" w:rsidP="00DE6A30">
            <w:pPr>
              <w:rPr>
                <w:rFonts w:eastAsia="Calibri" w:cs="Arial"/>
              </w:rPr>
            </w:pPr>
            <w:r>
              <w:rPr>
                <w:szCs w:val="20"/>
              </w:rPr>
              <w:t xml:space="preserve">Depending on the Customer’s location. </w:t>
            </w:r>
            <w:proofErr w:type="spellStart"/>
            <w:r>
              <w:rPr>
                <w:szCs w:val="20"/>
              </w:rPr>
              <w:t>Luware’s</w:t>
            </w:r>
            <w:proofErr w:type="spellEnd"/>
            <w:r>
              <w:rPr>
                <w:szCs w:val="20"/>
              </w:rPr>
              <w:t xml:space="preserve"> Nimbus hosted in Germany, the UK and Switzerland Microsoft Azure instances.</w:t>
            </w:r>
          </w:p>
        </w:tc>
        <w:tc>
          <w:tcPr>
            <w:tcW w:w="1491" w:type="dxa"/>
            <w:tcBorders>
              <w:top w:val="single" w:sz="4" w:space="0" w:color="000000"/>
              <w:left w:val="single" w:sz="4" w:space="0" w:color="000000"/>
              <w:bottom w:val="single" w:sz="4" w:space="0" w:color="000000"/>
              <w:right w:val="single" w:sz="4" w:space="0" w:color="000000"/>
            </w:tcBorders>
          </w:tcPr>
          <w:p w14:paraId="4A01109D" w14:textId="325E30B2" w:rsidR="00DE6A30" w:rsidRDefault="00DE6A30" w:rsidP="00DE6A30">
            <w:pPr>
              <w:rPr>
                <w:szCs w:val="20"/>
              </w:rPr>
            </w:pPr>
            <w:r>
              <w:rPr>
                <w:szCs w:val="20"/>
              </w:rPr>
              <w:t xml:space="preserve">Depending on the Customer’s location. </w:t>
            </w:r>
          </w:p>
        </w:tc>
        <w:tc>
          <w:tcPr>
            <w:tcW w:w="4445" w:type="dxa"/>
            <w:tcBorders>
              <w:top w:val="single" w:sz="4" w:space="0" w:color="000000"/>
              <w:left w:val="single" w:sz="4" w:space="0" w:color="000000"/>
              <w:bottom w:val="single" w:sz="4" w:space="0" w:color="000000"/>
              <w:right w:val="single" w:sz="4" w:space="0" w:color="000000"/>
            </w:tcBorders>
          </w:tcPr>
          <w:p w14:paraId="54C85486" w14:textId="4928AAFE" w:rsidR="00EB1D9D" w:rsidRPr="006E3F1B" w:rsidRDefault="0046689C" w:rsidP="00DE6A30">
            <w:pPr>
              <w:spacing w:after="0" w:line="259" w:lineRule="auto"/>
              <w:ind w:left="1"/>
              <w:rPr>
                <w:lang w:val="pl-PL"/>
              </w:rPr>
            </w:pPr>
            <w:hyperlink r:id="rId11" w:history="1">
              <w:r w:rsidR="00EB1D9D" w:rsidRPr="006E3F1B">
                <w:rPr>
                  <w:rStyle w:val="Hyperlink"/>
                  <w:lang w:val="pl-PL"/>
                </w:rPr>
                <w:t xml:space="preserve">Privacy Policy | </w:t>
              </w:r>
              <w:proofErr w:type="spellStart"/>
              <w:r w:rsidR="00EB1D9D" w:rsidRPr="006E3F1B">
                <w:rPr>
                  <w:rStyle w:val="Hyperlink"/>
                  <w:lang w:val="pl-PL"/>
                </w:rPr>
                <w:t>Luware</w:t>
              </w:r>
              <w:proofErr w:type="spellEnd"/>
            </w:hyperlink>
          </w:p>
          <w:p w14:paraId="3834A359" w14:textId="15D96978" w:rsidR="00EB1D9D" w:rsidRPr="006E3F1B" w:rsidRDefault="00EB1D9D" w:rsidP="00DE6A30">
            <w:pPr>
              <w:spacing w:after="0" w:line="259" w:lineRule="auto"/>
              <w:ind w:left="1"/>
              <w:rPr>
                <w:color w:val="0462C1"/>
                <w:sz w:val="18"/>
                <w:szCs w:val="18"/>
                <w:lang w:val="pl-PL"/>
              </w:rPr>
            </w:pPr>
            <w:r w:rsidRPr="006E3F1B">
              <w:rPr>
                <w:color w:val="0462C1"/>
                <w:sz w:val="18"/>
                <w:szCs w:val="18"/>
                <w:lang w:val="pl-PL"/>
              </w:rPr>
              <w:t>https://luware.com/en/privacy-policy/</w:t>
            </w:r>
          </w:p>
          <w:p w14:paraId="55C78C72" w14:textId="77777777" w:rsidR="00EB1D9D" w:rsidRPr="006E3F1B" w:rsidRDefault="00EB1D9D" w:rsidP="00DE6A30">
            <w:pPr>
              <w:spacing w:after="0" w:line="259" w:lineRule="auto"/>
              <w:ind w:left="1"/>
              <w:rPr>
                <w:color w:val="0462C1"/>
                <w:sz w:val="18"/>
                <w:szCs w:val="18"/>
                <w:lang w:val="pl-PL"/>
              </w:rPr>
            </w:pPr>
          </w:p>
          <w:p w14:paraId="25E74602" w14:textId="75ABAAE2" w:rsidR="00DE6A30" w:rsidRPr="006E3F1B" w:rsidRDefault="00DE6A30" w:rsidP="00DE6A30">
            <w:pPr>
              <w:spacing w:after="0" w:line="259" w:lineRule="auto"/>
              <w:ind w:left="1"/>
              <w:rPr>
                <w:rFonts w:eastAsia="Calibri" w:cs="Arial"/>
                <w:lang w:val="pl-PL"/>
              </w:rPr>
            </w:pPr>
            <w:r w:rsidRPr="006E3F1B">
              <w:rPr>
                <w:color w:val="0462C1"/>
                <w:sz w:val="18"/>
                <w:szCs w:val="18"/>
                <w:lang w:val="pl-PL"/>
              </w:rPr>
              <w:t>https://luware.com/en/agreements/dpa/</w:t>
            </w:r>
            <w:r w:rsidRPr="006E3F1B">
              <w:rPr>
                <w:sz w:val="18"/>
                <w:szCs w:val="18"/>
                <w:lang w:val="pl-PL"/>
              </w:rPr>
              <w:t>.</w:t>
            </w:r>
          </w:p>
        </w:tc>
      </w:tr>
    </w:tbl>
    <w:p w14:paraId="79A41B9A" w14:textId="77777777" w:rsidR="00643EE0" w:rsidRPr="006E3F1B" w:rsidRDefault="00643EE0" w:rsidP="00643EE0">
      <w:pPr>
        <w:rPr>
          <w:rFonts w:asciiTheme="majorHAnsi" w:eastAsiaTheme="majorEastAsia" w:hAnsiTheme="majorHAnsi" w:cstheme="majorBidi"/>
          <w:bCs/>
          <w:color w:val="00D7BD" w:themeColor="accent1"/>
          <w:sz w:val="22"/>
          <w:lang w:val="pl-PL"/>
        </w:rPr>
      </w:pPr>
    </w:p>
    <w:p w14:paraId="04346141" w14:textId="77777777" w:rsidR="00EB1D9D" w:rsidRPr="006E3F1B" w:rsidRDefault="00EB1D9D" w:rsidP="00643EE0">
      <w:pPr>
        <w:rPr>
          <w:rFonts w:asciiTheme="majorHAnsi" w:eastAsiaTheme="majorEastAsia" w:hAnsiTheme="majorHAnsi" w:cstheme="majorBidi"/>
          <w:bCs/>
          <w:color w:val="00D7BD" w:themeColor="accent1"/>
          <w:sz w:val="22"/>
          <w:lang w:val="pl-PL"/>
        </w:rPr>
      </w:pPr>
    </w:p>
    <w:p w14:paraId="1C98529A" w14:textId="77777777" w:rsidR="00EB1D9D" w:rsidRPr="006E3F1B" w:rsidRDefault="00EB1D9D" w:rsidP="00643EE0">
      <w:pPr>
        <w:rPr>
          <w:rFonts w:asciiTheme="majorHAnsi" w:eastAsiaTheme="majorEastAsia" w:hAnsiTheme="majorHAnsi" w:cstheme="majorBidi"/>
          <w:bCs/>
          <w:color w:val="00D7BD" w:themeColor="accent1"/>
          <w:sz w:val="22"/>
          <w:lang w:val="pl-PL"/>
        </w:rPr>
      </w:pPr>
    </w:p>
    <w:p w14:paraId="27C3ECD1" w14:textId="68839FDA" w:rsidR="00643EE0" w:rsidRPr="00023248" w:rsidRDefault="00643EE0" w:rsidP="00643EE0">
      <w:pPr>
        <w:rPr>
          <w:rFonts w:asciiTheme="majorHAnsi" w:eastAsiaTheme="majorEastAsia" w:hAnsiTheme="majorHAnsi" w:cstheme="majorBidi"/>
          <w:bCs/>
          <w:color w:val="00D7BD" w:themeColor="accent1"/>
          <w:sz w:val="22"/>
        </w:rPr>
      </w:pPr>
      <w:r w:rsidRPr="00023248">
        <w:rPr>
          <w:rFonts w:asciiTheme="majorHAnsi" w:eastAsiaTheme="majorEastAsia" w:hAnsiTheme="majorHAnsi" w:cstheme="majorBidi"/>
          <w:bCs/>
          <w:color w:val="00D7BD" w:themeColor="accent1"/>
          <w:sz w:val="22"/>
        </w:rPr>
        <w:t xml:space="preserve">Colt used Sub-processors (third party suppliers) </w:t>
      </w:r>
    </w:p>
    <w:p w14:paraId="123274DE" w14:textId="532D37FA" w:rsidR="0039072D" w:rsidRDefault="00643EE0" w:rsidP="0039072D">
      <w:r>
        <w:t xml:space="preserve">Colt does not use </w:t>
      </w:r>
      <w:r w:rsidR="00E512A8">
        <w:t xml:space="preserve">other </w:t>
      </w:r>
      <w:r>
        <w:t>third-party suppliers</w:t>
      </w:r>
      <w:r w:rsidR="00115ACF">
        <w:t xml:space="preserve"> </w:t>
      </w:r>
      <w:r w:rsidR="00E512A8">
        <w:t xml:space="preserve">apart from </w:t>
      </w:r>
      <w:proofErr w:type="spellStart"/>
      <w:r w:rsidR="00490E7A">
        <w:t>Luware</w:t>
      </w:r>
      <w:proofErr w:type="spellEnd"/>
      <w:r w:rsidR="009064B5">
        <w:t xml:space="preserve"> when offering </w:t>
      </w:r>
      <w:proofErr w:type="spellStart"/>
      <w:r w:rsidR="009064B5">
        <w:t>Luware</w:t>
      </w:r>
      <w:r w:rsidR="00490E7A">
        <w:t>’s</w:t>
      </w:r>
      <w:proofErr w:type="spellEnd"/>
      <w:r w:rsidR="00490E7A">
        <w:t xml:space="preserve"> Nimbus Solution</w:t>
      </w:r>
      <w:r w:rsidR="009064B5">
        <w:t xml:space="preserve"> for CIC</w:t>
      </w:r>
      <w:r w:rsidR="007E264B">
        <w:t>.</w:t>
      </w:r>
    </w:p>
    <w:p w14:paraId="65A3B9FA" w14:textId="19EF87FF" w:rsidR="00DE6A30" w:rsidRPr="00633C75" w:rsidRDefault="00DE6A30" w:rsidP="00DE6A30">
      <w:pPr>
        <w:spacing w:after="394"/>
        <w:jc w:val="both"/>
        <w:rPr>
          <w:strike/>
          <w:sz w:val="18"/>
          <w:szCs w:val="18"/>
        </w:rPr>
      </w:pPr>
      <w:proofErr w:type="spellStart"/>
      <w:r>
        <w:t>Luware’s</w:t>
      </w:r>
      <w:proofErr w:type="spellEnd"/>
      <w:r>
        <w:t xml:space="preserve"> Nimbus Solution for CIC is provided by </w:t>
      </w:r>
      <w:proofErr w:type="spellStart"/>
      <w:r>
        <w:t>Luware</w:t>
      </w:r>
      <w:proofErr w:type="spellEnd"/>
      <w:r>
        <w:t xml:space="preserve"> to Customer embedded as an add on to Colt CIC </w:t>
      </w:r>
      <w:r w:rsidR="00B24312">
        <w:t>Product</w:t>
      </w:r>
      <w:r>
        <w:t>.</w:t>
      </w:r>
      <w:r w:rsidRPr="00FA38EC">
        <w:rPr>
          <w:rFonts w:ascii="Arial" w:hAnsi="Arial" w:cs="Arial"/>
        </w:rPr>
        <w:t xml:space="preserve"> </w:t>
      </w:r>
      <w:proofErr w:type="spellStart"/>
      <w:r>
        <w:rPr>
          <w:rFonts w:ascii="Arial" w:hAnsi="Arial" w:cs="Arial"/>
        </w:rPr>
        <w:t>Luware</w:t>
      </w:r>
      <w:proofErr w:type="spellEnd"/>
      <w:r>
        <w:rPr>
          <w:rFonts w:ascii="Arial" w:hAnsi="Arial" w:cs="Arial"/>
        </w:rPr>
        <w:t xml:space="preserve"> has implemented a Data Processing Agreement to be executed between </w:t>
      </w:r>
      <w:r w:rsidRPr="00FA38EC">
        <w:rPr>
          <w:rFonts w:ascii="Arial" w:hAnsi="Arial" w:cs="Arial"/>
        </w:rPr>
        <w:t xml:space="preserve">the Customer and </w:t>
      </w:r>
      <w:proofErr w:type="spellStart"/>
      <w:r>
        <w:rPr>
          <w:rFonts w:ascii="Arial" w:hAnsi="Arial" w:cs="Arial"/>
        </w:rPr>
        <w:t>Luware</w:t>
      </w:r>
      <w:proofErr w:type="spellEnd"/>
      <w:r w:rsidR="00EB1D9D">
        <w:rPr>
          <w:rFonts w:ascii="Arial" w:hAnsi="Arial" w:cs="Arial"/>
        </w:rPr>
        <w:t xml:space="preserve"> (</w:t>
      </w:r>
      <w:r w:rsidR="00EB1D9D">
        <w:rPr>
          <w:color w:val="0462C1"/>
          <w:sz w:val="18"/>
          <w:szCs w:val="18"/>
        </w:rPr>
        <w:t>https://luware.com/en/agreements/dpa/</w:t>
      </w:r>
      <w:r w:rsidR="00EB1D9D">
        <w:rPr>
          <w:sz w:val="18"/>
          <w:szCs w:val="18"/>
        </w:rPr>
        <w:t>.)</w:t>
      </w:r>
      <w:r>
        <w:rPr>
          <w:rFonts w:ascii="Arial" w:hAnsi="Arial" w:cs="Arial"/>
        </w:rPr>
        <w:t xml:space="preserve">. </w:t>
      </w:r>
    </w:p>
    <w:p w14:paraId="762A4F9A" w14:textId="77777777" w:rsidR="00643EE0" w:rsidRPr="0097288B" w:rsidRDefault="00643EE0" w:rsidP="00643EE0">
      <w:pPr>
        <w:rPr>
          <w:rFonts w:asciiTheme="majorHAnsi" w:eastAsiaTheme="majorEastAsia" w:hAnsiTheme="majorHAnsi" w:cstheme="majorBidi"/>
          <w:bCs/>
          <w:color w:val="00D7BD" w:themeColor="accent1"/>
          <w:sz w:val="22"/>
        </w:rPr>
      </w:pPr>
      <w:r w:rsidRPr="0097288B">
        <w:rPr>
          <w:rFonts w:asciiTheme="majorHAnsi" w:eastAsiaTheme="majorEastAsia" w:hAnsiTheme="majorHAnsi" w:cstheme="majorBidi"/>
          <w:bCs/>
          <w:color w:val="00D7BD" w:themeColor="accent1"/>
          <w:sz w:val="22"/>
        </w:rPr>
        <w:t xml:space="preserve">Legal measures and statements </w:t>
      </w:r>
    </w:p>
    <w:tbl>
      <w:tblPr>
        <w:tblStyle w:val="TableGrid"/>
        <w:tblW w:w="9625" w:type="dxa"/>
        <w:tblLook w:val="04A0" w:firstRow="1" w:lastRow="0" w:firstColumn="1" w:lastColumn="0" w:noHBand="0" w:noVBand="1"/>
      </w:tblPr>
      <w:tblGrid>
        <w:gridCol w:w="9625"/>
      </w:tblGrid>
      <w:tr w:rsidR="00643EE0" w:rsidRPr="0097288B" w14:paraId="46719166" w14:textId="77777777" w:rsidTr="002620A3">
        <w:tc>
          <w:tcPr>
            <w:tcW w:w="9625" w:type="dxa"/>
          </w:tcPr>
          <w:p w14:paraId="503CC580" w14:textId="77777777" w:rsidR="00643EE0" w:rsidRPr="0097288B" w:rsidRDefault="00643EE0" w:rsidP="002620A3">
            <w:pPr>
              <w:jc w:val="both"/>
              <w:rPr>
                <w:color w:val="009999"/>
                <w:szCs w:val="20"/>
                <w:lang w:val="en-US"/>
              </w:rPr>
            </w:pPr>
            <w:r w:rsidRPr="0097288B">
              <w:rPr>
                <w:szCs w:val="20"/>
                <w:lang w:val="en-US"/>
              </w:rPr>
              <w:t xml:space="preserve">Colt complies with the transparency principle mainly through its publicly available </w:t>
            </w:r>
            <w:hyperlink r:id="rId12" w:history="1">
              <w:r w:rsidRPr="0097288B">
                <w:rPr>
                  <w:rStyle w:val="Hyperlink"/>
                  <w:szCs w:val="20"/>
                  <w:lang w:val="en-US"/>
                </w:rPr>
                <w:t>Data Privacy Statement</w:t>
              </w:r>
            </w:hyperlink>
            <w:r w:rsidRPr="0097288B">
              <w:rPr>
                <w:szCs w:val="20"/>
                <w:lang w:val="en-US"/>
              </w:rPr>
              <w:t>.</w:t>
            </w:r>
          </w:p>
        </w:tc>
      </w:tr>
      <w:tr w:rsidR="00643EE0" w:rsidRPr="0097288B" w14:paraId="74FC54C5" w14:textId="77777777" w:rsidTr="002620A3">
        <w:tc>
          <w:tcPr>
            <w:tcW w:w="9625" w:type="dxa"/>
          </w:tcPr>
          <w:p w14:paraId="0DE3BDFD" w14:textId="77777777" w:rsidR="00643EE0" w:rsidRPr="0097288B" w:rsidRDefault="00643EE0" w:rsidP="002620A3">
            <w:pPr>
              <w:rPr>
                <w:color w:val="009999"/>
                <w:szCs w:val="20"/>
                <w:lang w:val="en-US"/>
              </w:rPr>
            </w:pPr>
            <w:r w:rsidRPr="0097288B">
              <w:rPr>
                <w:szCs w:val="20"/>
                <w:lang w:val="en-US"/>
              </w:rPr>
              <w:t xml:space="preserve">Colt processes as an independent controller of </w:t>
            </w:r>
            <w:r w:rsidRPr="0097288B">
              <w:rPr>
                <w:color w:val="auto"/>
                <w:szCs w:val="20"/>
                <w:lang w:val="en-US"/>
              </w:rPr>
              <w:t xml:space="preserve">Business Contact Personal Data of Customer’s personnel in compliance with data protection rules and within the terms described in </w:t>
            </w:r>
            <w:hyperlink r:id="rId13" w:history="1">
              <w:r w:rsidRPr="0097288B">
                <w:rPr>
                  <w:rStyle w:val="Hyperlink"/>
                  <w:szCs w:val="20"/>
                  <w:lang w:val="en-US"/>
                </w:rPr>
                <w:t>Colt Compliance Statement</w:t>
              </w:r>
            </w:hyperlink>
          </w:p>
        </w:tc>
      </w:tr>
      <w:tr w:rsidR="00643EE0" w:rsidRPr="0097288B" w14:paraId="178B52C4" w14:textId="77777777" w:rsidTr="002620A3">
        <w:tc>
          <w:tcPr>
            <w:tcW w:w="9625" w:type="dxa"/>
          </w:tcPr>
          <w:p w14:paraId="0F4CFCCF" w14:textId="77777777" w:rsidR="00643EE0" w:rsidRPr="0097288B" w:rsidRDefault="00643EE0" w:rsidP="002620A3">
            <w:pPr>
              <w:rPr>
                <w:color w:val="009999"/>
                <w:szCs w:val="20"/>
                <w:lang w:val="en-US"/>
              </w:rPr>
            </w:pPr>
            <w:r w:rsidRPr="0097288B">
              <w:rPr>
                <w:szCs w:val="20"/>
                <w:lang w:val="en-US"/>
              </w:rPr>
              <w:t xml:space="preserve">Colt has embedded the </w:t>
            </w:r>
            <w:hyperlink r:id="rId14" w:history="1">
              <w:r w:rsidRPr="0097288B">
                <w:rPr>
                  <w:rStyle w:val="Hyperlink"/>
                  <w:szCs w:val="20"/>
                  <w:lang w:val="en-US"/>
                </w:rPr>
                <w:t>Privacy by Design and by Default principle</w:t>
              </w:r>
            </w:hyperlink>
            <w:r w:rsidRPr="0097288B">
              <w:rPr>
                <w:szCs w:val="20"/>
                <w:lang w:val="en-US"/>
              </w:rPr>
              <w:t>, incorporating it into the data processing activities of Colt</w:t>
            </w:r>
          </w:p>
        </w:tc>
      </w:tr>
      <w:tr w:rsidR="00643EE0" w:rsidRPr="0097288B" w14:paraId="3DA9F527" w14:textId="77777777" w:rsidTr="002620A3">
        <w:tc>
          <w:tcPr>
            <w:tcW w:w="9625" w:type="dxa"/>
          </w:tcPr>
          <w:p w14:paraId="56F2DA35" w14:textId="77777777" w:rsidR="00643EE0" w:rsidRPr="0097288B" w:rsidRDefault="00643EE0" w:rsidP="002620A3">
            <w:pPr>
              <w:spacing w:line="240" w:lineRule="auto"/>
              <w:jc w:val="both"/>
              <w:rPr>
                <w:szCs w:val="20"/>
                <w:lang w:val="en-US"/>
              </w:rPr>
            </w:pPr>
            <w:r w:rsidRPr="0097288B">
              <w:rPr>
                <w:szCs w:val="20"/>
                <w:lang w:val="en-US"/>
              </w:rPr>
              <w:t xml:space="preserve">Colt has been awarded </w:t>
            </w:r>
            <w:hyperlink r:id="rId15" w:history="1">
              <w:r w:rsidRPr="0097288B">
                <w:rPr>
                  <w:rStyle w:val="Hyperlink"/>
                  <w:szCs w:val="20"/>
                  <w:lang w:val="en-US"/>
                </w:rPr>
                <w:t>Binding Corporate Rules (‘BCRs’)</w:t>
              </w:r>
            </w:hyperlink>
            <w:r w:rsidRPr="0097288B">
              <w:rPr>
                <w:szCs w:val="20"/>
                <w:lang w:val="en-US"/>
              </w:rPr>
              <w:t xml:space="preserve"> certification for both controller and processor. </w:t>
            </w:r>
            <w:r w:rsidRPr="0097288B">
              <w:rPr>
                <w:rFonts w:cstheme="minorHAnsi"/>
                <w:color w:val="000000"/>
                <w:szCs w:val="20"/>
                <w:shd w:val="clear" w:color="auto" w:fill="FFFFFF"/>
                <w:lang w:val="en-US"/>
              </w:rPr>
              <w:t>Colt's BCR Controller and Processor decisions are published at the </w:t>
            </w:r>
            <w:hyperlink r:id="rId16" w:history="1">
              <w:r w:rsidRPr="0097288B">
                <w:rPr>
                  <w:rStyle w:val="Hyperlink"/>
                  <w:rFonts w:cstheme="minorHAnsi"/>
                  <w:color w:val="00A59B"/>
                  <w:szCs w:val="20"/>
                  <w:shd w:val="clear" w:color="auto" w:fill="FFFFFF"/>
                  <w:lang w:val="en-US"/>
                </w:rPr>
                <w:t>European Data Protection Board (‘EDPB’) website</w:t>
              </w:r>
            </w:hyperlink>
            <w:r w:rsidRPr="0097288B">
              <w:rPr>
                <w:rFonts w:cstheme="minorHAnsi"/>
                <w:color w:val="000000"/>
                <w:szCs w:val="20"/>
                <w:shd w:val="clear" w:color="auto" w:fill="FFFFFF"/>
                <w:lang w:val="en-US"/>
              </w:rPr>
              <w:t> and at the</w:t>
            </w:r>
            <w:hyperlink r:id="rId17" w:history="1">
              <w:r w:rsidRPr="0097288B">
                <w:rPr>
                  <w:rStyle w:val="Hyperlink"/>
                  <w:rFonts w:cstheme="minorHAnsi"/>
                  <w:color w:val="00A59B"/>
                  <w:szCs w:val="20"/>
                  <w:shd w:val="clear" w:color="auto" w:fill="FFFFFF"/>
                  <w:lang w:val="en-US"/>
                </w:rPr>
                <w:t> Spanish Data Protection Authority (‘AEPD’) website.</w:t>
              </w:r>
            </w:hyperlink>
            <w:r w:rsidRPr="0097288B">
              <w:rPr>
                <w:rFonts w:cstheme="minorHAnsi"/>
                <w:szCs w:val="20"/>
                <w:lang w:val="en-US"/>
              </w:rPr>
              <w:t xml:space="preserve"> </w:t>
            </w:r>
            <w:r w:rsidRPr="0097288B">
              <w:rPr>
                <w:szCs w:val="20"/>
                <w:lang w:val="en-US"/>
              </w:rPr>
              <w:t xml:space="preserve">BCRs are a certification granted by the EDPB, the collective body of all European Union (‘EU’) Data Protection Authorities. Through the BCRs, the EDPB certify that the privacy programme implemented by a company is compliant with the GDPR and the same level of data protection compliance valid in Europe is applied all over the entities of the same group. In addition, the BCRs are a tool for safely </w:t>
            </w:r>
            <w:r w:rsidRPr="0097288B">
              <w:rPr>
                <w:rFonts w:cstheme="minorHAnsi"/>
                <w:szCs w:val="20"/>
                <w:lang w:val="en-US"/>
              </w:rPr>
              <w:t xml:space="preserve">transfer personal data outside the EU within a group of companies. </w:t>
            </w:r>
          </w:p>
        </w:tc>
      </w:tr>
      <w:tr w:rsidR="00024A1C" w:rsidRPr="0097288B" w14:paraId="46A4A691" w14:textId="77777777" w:rsidTr="002620A3">
        <w:tc>
          <w:tcPr>
            <w:tcW w:w="9625" w:type="dxa"/>
          </w:tcPr>
          <w:p w14:paraId="2E246E35" w14:textId="243F8739" w:rsidR="00024A1C" w:rsidRPr="0097288B" w:rsidRDefault="00024A1C" w:rsidP="00024A1C">
            <w:pPr>
              <w:spacing w:line="276" w:lineRule="auto"/>
              <w:jc w:val="both"/>
              <w:rPr>
                <w:szCs w:val="20"/>
                <w:lang w:val="en-US"/>
              </w:rPr>
            </w:pPr>
            <w:r w:rsidRPr="00024A1C">
              <w:rPr>
                <w:rFonts w:cstheme="minorHAnsi"/>
                <w:color w:val="484A47" w:themeColor="text2"/>
                <w:szCs w:val="20"/>
                <w:lang w:val="en-US"/>
              </w:rPr>
              <w:t xml:space="preserve">Colt has achieved </w:t>
            </w:r>
            <w:r w:rsidRPr="00024A1C">
              <w:rPr>
                <w:rStyle w:val="Hyperlink"/>
                <w:color w:val="00A59B"/>
                <w:shd w:val="clear" w:color="auto" w:fill="FFFFFF"/>
                <w:lang w:val="en-US"/>
              </w:rPr>
              <w:t>ISO 27701:2019,</w:t>
            </w:r>
            <w:r w:rsidRPr="00024A1C">
              <w:rPr>
                <w:rFonts w:cstheme="minorHAnsi"/>
                <w:color w:val="484A47" w:themeColor="text2"/>
                <w:szCs w:val="20"/>
                <w:lang w:val="en-US"/>
              </w:rPr>
              <w:t xml:space="preserve"> an extension of ISO/IEC 27001 and ISO/IEC 27002 for Privacy and Personal Data. This </w:t>
            </w:r>
            <w:r w:rsidRPr="00024A1C">
              <w:rPr>
                <w:rFonts w:cstheme="minorHAnsi"/>
                <w:b/>
                <w:bCs/>
                <w:color w:val="484A47" w:themeColor="text2"/>
                <w:szCs w:val="20"/>
                <w:u w:val="single"/>
                <w:lang w:val="en-US"/>
              </w:rPr>
              <w:t xml:space="preserve">Global standard </w:t>
            </w:r>
            <w:r w:rsidRPr="00024A1C">
              <w:rPr>
                <w:rFonts w:cstheme="minorHAnsi"/>
                <w:color w:val="484A47" w:themeColor="text2"/>
                <w:szCs w:val="20"/>
                <w:lang w:val="en-US"/>
              </w:rPr>
              <w:t>provides the framework for organizations looking to put in place a system to support compliance with the EU’s GDPR, California’s CCPA, and other data privacy requirements. ISO 27701, also referenced as PIMS (Privacy Information Management System), outlines a framework for </w:t>
            </w:r>
            <w:hyperlink r:id="rId18" w:history="1">
              <w:r w:rsidRPr="00024A1C">
                <w:rPr>
                  <w:rStyle w:val="Hyperlink"/>
                  <w:rFonts w:cstheme="minorHAnsi"/>
                  <w:szCs w:val="20"/>
                  <w:lang w:val="en-US"/>
                </w:rPr>
                <w:t>Personally Identifiable Information</w:t>
              </w:r>
            </w:hyperlink>
            <w:r w:rsidRPr="00024A1C">
              <w:rPr>
                <w:rFonts w:cstheme="minorHAnsi"/>
                <w:color w:val="484A47" w:themeColor="text2"/>
                <w:szCs w:val="20"/>
                <w:lang w:val="en-US"/>
              </w:rPr>
              <w:t> (PII) Controllers and PII Processors to manage data privacy.</w:t>
            </w:r>
          </w:p>
        </w:tc>
      </w:tr>
    </w:tbl>
    <w:p w14:paraId="3C2EA11A" w14:textId="3DEDE665" w:rsidR="00643EE0" w:rsidRDefault="00643EE0" w:rsidP="00643EE0">
      <w:pPr>
        <w:rPr>
          <w:color w:val="009999"/>
          <w:szCs w:val="20"/>
          <w:lang w:val="en-US"/>
        </w:rPr>
      </w:pPr>
      <w:bookmarkStart w:id="0" w:name="_Hlk156463061"/>
    </w:p>
    <w:p w14:paraId="74D03D2B" w14:textId="2068B0C7" w:rsidR="00CB0A08" w:rsidRPr="00F15C42" w:rsidRDefault="00CB0A08" w:rsidP="00EB1D9D">
      <w:pPr>
        <w:rPr>
          <w:rFonts w:ascii="Arial" w:eastAsia="Times New Roman" w:hAnsi="Arial" w:cs="Times New Roman"/>
          <w:sz w:val="18"/>
          <w:szCs w:val="24"/>
          <w:lang w:eastAsia="en-CA"/>
        </w:rPr>
      </w:pPr>
      <w:r>
        <w:rPr>
          <w:rFonts w:asciiTheme="majorHAnsi" w:eastAsiaTheme="majorEastAsia" w:hAnsiTheme="majorHAnsi" w:cstheme="majorBidi"/>
          <w:bCs/>
          <w:color w:val="00D7BD" w:themeColor="accent1"/>
          <w:sz w:val="22"/>
        </w:rPr>
        <w:t>Certifications</w:t>
      </w:r>
    </w:p>
    <w:tbl>
      <w:tblPr>
        <w:tblStyle w:val="TableGrid"/>
        <w:tblW w:w="9615" w:type="dxa"/>
        <w:tblInd w:w="10" w:type="dxa"/>
        <w:tblLook w:val="04A0" w:firstRow="1" w:lastRow="0" w:firstColumn="1" w:lastColumn="0" w:noHBand="0" w:noVBand="1"/>
      </w:tblPr>
      <w:tblGrid>
        <w:gridCol w:w="794"/>
        <w:gridCol w:w="2166"/>
        <w:gridCol w:w="4315"/>
        <w:gridCol w:w="2340"/>
      </w:tblGrid>
      <w:tr w:rsidR="00CB0A08" w:rsidRPr="00F15C42" w14:paraId="3660C12C" w14:textId="77777777" w:rsidTr="00FE5914">
        <w:tc>
          <w:tcPr>
            <w:tcW w:w="794" w:type="dxa"/>
          </w:tcPr>
          <w:p w14:paraId="73C77F8C" w14:textId="77777777" w:rsidR="00CB0A08" w:rsidRPr="00F15C42" w:rsidRDefault="00CB0A08" w:rsidP="00FE5914">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SL No</w:t>
            </w:r>
          </w:p>
        </w:tc>
        <w:tc>
          <w:tcPr>
            <w:tcW w:w="2166" w:type="dxa"/>
          </w:tcPr>
          <w:p w14:paraId="47751179" w14:textId="77777777" w:rsidR="00CB0A08" w:rsidRPr="00123300" w:rsidRDefault="00CB0A08" w:rsidP="00FE5914">
            <w:pPr>
              <w:jc w:val="center"/>
              <w:rPr>
                <w:rFonts w:ascii="Arial" w:eastAsia="Times New Roman" w:hAnsi="Arial" w:cs="Times New Roman"/>
                <w:b/>
                <w:bCs/>
                <w:sz w:val="18"/>
                <w:szCs w:val="24"/>
                <w:lang w:eastAsia="en-CA"/>
              </w:rPr>
            </w:pPr>
            <w:r w:rsidRPr="00123300">
              <w:rPr>
                <w:rFonts w:ascii="Arial" w:eastAsia="Times New Roman" w:hAnsi="Arial" w:cs="Times New Roman"/>
                <w:b/>
                <w:bCs/>
                <w:sz w:val="18"/>
                <w:szCs w:val="24"/>
                <w:lang w:eastAsia="en-CA"/>
              </w:rPr>
              <w:t>Certification</w:t>
            </w:r>
          </w:p>
        </w:tc>
        <w:tc>
          <w:tcPr>
            <w:tcW w:w="4315" w:type="dxa"/>
          </w:tcPr>
          <w:p w14:paraId="712C3349" w14:textId="77777777" w:rsidR="00CB0A08" w:rsidRPr="00123300" w:rsidRDefault="00CB0A08" w:rsidP="00FE5914">
            <w:pPr>
              <w:jc w:val="center"/>
              <w:rPr>
                <w:rFonts w:ascii="Arial" w:eastAsia="Times New Roman" w:hAnsi="Arial" w:cs="Times New Roman"/>
                <w:b/>
                <w:bCs/>
                <w:sz w:val="18"/>
                <w:szCs w:val="24"/>
                <w:lang w:eastAsia="en-CA"/>
              </w:rPr>
            </w:pPr>
            <w:r w:rsidRPr="00123300">
              <w:rPr>
                <w:rFonts w:ascii="Arial" w:eastAsia="Times New Roman" w:hAnsi="Arial" w:cs="Times New Roman"/>
                <w:b/>
                <w:bCs/>
                <w:sz w:val="18"/>
                <w:szCs w:val="24"/>
                <w:lang w:eastAsia="en-CA"/>
              </w:rPr>
              <w:t>Name</w:t>
            </w:r>
          </w:p>
        </w:tc>
        <w:tc>
          <w:tcPr>
            <w:tcW w:w="2340" w:type="dxa"/>
            <w:vMerge w:val="restart"/>
          </w:tcPr>
          <w:p w14:paraId="47B859AD" w14:textId="77777777" w:rsidR="00CB0A08" w:rsidRPr="00123300" w:rsidRDefault="00CB0A08" w:rsidP="00FE5914">
            <w:pPr>
              <w:jc w:val="center"/>
              <w:rPr>
                <w:rFonts w:ascii="Arial" w:eastAsia="Times New Roman" w:hAnsi="Arial" w:cs="Times New Roman"/>
                <w:b/>
                <w:bCs/>
                <w:sz w:val="18"/>
                <w:szCs w:val="24"/>
                <w:lang w:eastAsia="en-CA"/>
              </w:rPr>
            </w:pPr>
            <w:r w:rsidRPr="00123300">
              <w:rPr>
                <w:rFonts w:ascii="Arial" w:eastAsia="Times New Roman" w:hAnsi="Arial" w:cs="Times New Roman"/>
                <w:b/>
                <w:bCs/>
                <w:sz w:val="18"/>
                <w:szCs w:val="24"/>
                <w:lang w:eastAsia="en-CA"/>
              </w:rPr>
              <w:t>Link</w:t>
            </w:r>
          </w:p>
          <w:p w14:paraId="065519E4" w14:textId="77777777" w:rsidR="00CB0A08" w:rsidRPr="00F15C42" w:rsidRDefault="00CB0A08" w:rsidP="00FE5914">
            <w:pPr>
              <w:ind w:right="-479"/>
              <w:rPr>
                <w:rFonts w:ascii="Arial" w:eastAsia="Times New Roman" w:hAnsi="Arial" w:cs="Times New Roman"/>
                <w:sz w:val="18"/>
                <w:szCs w:val="24"/>
                <w:lang w:eastAsia="en-CA"/>
              </w:rPr>
            </w:pPr>
          </w:p>
          <w:p w14:paraId="09CF03B7" w14:textId="77777777" w:rsidR="00CB0A08" w:rsidRPr="00F15C42" w:rsidRDefault="00CB0A08" w:rsidP="00FE5914">
            <w:pPr>
              <w:ind w:right="-479"/>
              <w:rPr>
                <w:rFonts w:ascii="Arial" w:eastAsia="Times New Roman" w:hAnsi="Arial" w:cs="Times New Roman"/>
                <w:sz w:val="18"/>
                <w:szCs w:val="24"/>
                <w:lang w:eastAsia="en-CA"/>
              </w:rPr>
            </w:pPr>
          </w:p>
          <w:p w14:paraId="5F131386" w14:textId="4AAE1B25" w:rsidR="00CB0A08" w:rsidRDefault="0046689C" w:rsidP="00FE5914">
            <w:pPr>
              <w:ind w:right="-479"/>
              <w:rPr>
                <w:rFonts w:ascii="Arial" w:eastAsia="Times New Roman" w:hAnsi="Arial" w:cs="Times New Roman"/>
                <w:sz w:val="18"/>
                <w:szCs w:val="24"/>
                <w:lang w:eastAsia="en-CA"/>
              </w:rPr>
            </w:pPr>
            <w:hyperlink r:id="rId19" w:history="1">
              <w:r w:rsidR="00CB0A08" w:rsidRPr="00F15C42">
                <w:rPr>
                  <w:rFonts w:ascii="Arial" w:eastAsia="Times New Roman" w:hAnsi="Arial" w:cs="Times New Roman"/>
                  <w:sz w:val="18"/>
                  <w:szCs w:val="24"/>
                  <w:lang w:eastAsia="en-CA"/>
                </w:rPr>
                <w:t>https://www.colt.net/why-colt/certifications</w:t>
              </w:r>
            </w:hyperlink>
          </w:p>
          <w:p w14:paraId="145436E8" w14:textId="77777777" w:rsidR="00EB1D9D" w:rsidRDefault="00EB1D9D" w:rsidP="00FE5914">
            <w:pPr>
              <w:ind w:right="-479"/>
              <w:rPr>
                <w:rFonts w:ascii="Arial" w:eastAsia="Times New Roman" w:hAnsi="Arial" w:cs="Times New Roman"/>
                <w:sz w:val="18"/>
                <w:szCs w:val="24"/>
                <w:lang w:eastAsia="en-CA"/>
              </w:rPr>
            </w:pPr>
          </w:p>
          <w:p w14:paraId="65CE4CAF" w14:textId="77777777" w:rsidR="00EB1D9D" w:rsidRPr="00123300" w:rsidRDefault="00EB1D9D" w:rsidP="00FE5914">
            <w:pPr>
              <w:ind w:right="-479"/>
              <w:rPr>
                <w:rFonts w:ascii="Arial" w:eastAsia="Times New Roman" w:hAnsi="Arial" w:cs="Times New Roman"/>
                <w:b/>
                <w:bCs/>
                <w:sz w:val="18"/>
                <w:szCs w:val="24"/>
                <w:lang w:eastAsia="en-CA"/>
              </w:rPr>
            </w:pPr>
          </w:p>
        </w:tc>
      </w:tr>
      <w:tr w:rsidR="00CB0A08" w:rsidRPr="00F15C42" w14:paraId="606B02D5" w14:textId="77777777" w:rsidTr="00FE5914">
        <w:tc>
          <w:tcPr>
            <w:tcW w:w="794" w:type="dxa"/>
          </w:tcPr>
          <w:p w14:paraId="38DF8888" w14:textId="77777777" w:rsidR="00CB0A08" w:rsidRPr="00F15C42" w:rsidRDefault="00CB0A08" w:rsidP="00FE5914">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1</w:t>
            </w:r>
          </w:p>
        </w:tc>
        <w:tc>
          <w:tcPr>
            <w:tcW w:w="2166" w:type="dxa"/>
          </w:tcPr>
          <w:p w14:paraId="7285912F" w14:textId="77777777" w:rsidR="00CB0A08" w:rsidRPr="00123300" w:rsidRDefault="00CB0A08" w:rsidP="00FE5914">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 xml:space="preserve">ISO/IEC 27001:2013 </w:t>
            </w:r>
          </w:p>
        </w:tc>
        <w:tc>
          <w:tcPr>
            <w:tcW w:w="4315" w:type="dxa"/>
          </w:tcPr>
          <w:p w14:paraId="091FB8BB" w14:textId="77777777" w:rsidR="00CB0A08" w:rsidRPr="00F15C42" w:rsidRDefault="00CB0A08" w:rsidP="00FE5914">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Information Security Management</w:t>
            </w:r>
          </w:p>
        </w:tc>
        <w:tc>
          <w:tcPr>
            <w:tcW w:w="2340" w:type="dxa"/>
            <w:vMerge/>
          </w:tcPr>
          <w:p w14:paraId="20FE8CC4" w14:textId="77777777" w:rsidR="00CB0A08" w:rsidRPr="00F15C42" w:rsidRDefault="00CB0A08" w:rsidP="00FE5914">
            <w:pPr>
              <w:ind w:right="-479"/>
              <w:rPr>
                <w:rFonts w:ascii="Arial" w:eastAsia="Times New Roman" w:hAnsi="Arial" w:cs="Times New Roman"/>
                <w:sz w:val="18"/>
                <w:szCs w:val="24"/>
                <w:lang w:eastAsia="en-CA"/>
              </w:rPr>
            </w:pPr>
          </w:p>
        </w:tc>
      </w:tr>
      <w:tr w:rsidR="00CB0A08" w:rsidRPr="00F15C42" w14:paraId="235B01ED" w14:textId="77777777" w:rsidTr="00FE5914">
        <w:tc>
          <w:tcPr>
            <w:tcW w:w="794" w:type="dxa"/>
          </w:tcPr>
          <w:p w14:paraId="04589819" w14:textId="77777777" w:rsidR="00CB0A08" w:rsidRPr="00F15C42" w:rsidRDefault="00CB0A08" w:rsidP="00FE5914">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2</w:t>
            </w:r>
          </w:p>
        </w:tc>
        <w:tc>
          <w:tcPr>
            <w:tcW w:w="2166" w:type="dxa"/>
          </w:tcPr>
          <w:p w14:paraId="55CFAE14" w14:textId="77777777" w:rsidR="00CB0A08" w:rsidRPr="00123300" w:rsidRDefault="00CB0A08" w:rsidP="00FE5914">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 9001:2015</w:t>
            </w:r>
          </w:p>
        </w:tc>
        <w:tc>
          <w:tcPr>
            <w:tcW w:w="4315" w:type="dxa"/>
          </w:tcPr>
          <w:p w14:paraId="1B561B8C" w14:textId="77777777" w:rsidR="00CB0A08" w:rsidRPr="00F15C42" w:rsidRDefault="00CB0A08" w:rsidP="00FE5914">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International Quality Management System</w:t>
            </w:r>
          </w:p>
        </w:tc>
        <w:tc>
          <w:tcPr>
            <w:tcW w:w="2340" w:type="dxa"/>
            <w:vMerge/>
          </w:tcPr>
          <w:p w14:paraId="516B7B03" w14:textId="77777777" w:rsidR="00CB0A08" w:rsidRPr="00F15C42" w:rsidRDefault="00CB0A08" w:rsidP="00FE5914">
            <w:pPr>
              <w:jc w:val="center"/>
              <w:rPr>
                <w:rFonts w:ascii="Arial" w:eastAsia="Times New Roman" w:hAnsi="Arial" w:cs="Times New Roman"/>
                <w:sz w:val="18"/>
                <w:szCs w:val="24"/>
                <w:lang w:eastAsia="en-CA"/>
              </w:rPr>
            </w:pPr>
          </w:p>
        </w:tc>
      </w:tr>
      <w:tr w:rsidR="00CB0A08" w:rsidRPr="00F15C42" w14:paraId="21994AC0" w14:textId="77777777" w:rsidTr="00FE5914">
        <w:tc>
          <w:tcPr>
            <w:tcW w:w="794" w:type="dxa"/>
          </w:tcPr>
          <w:p w14:paraId="7565A0C9" w14:textId="77777777" w:rsidR="00CB0A08" w:rsidRPr="00F15C42" w:rsidRDefault="00CB0A08" w:rsidP="00FE5914">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3</w:t>
            </w:r>
          </w:p>
        </w:tc>
        <w:tc>
          <w:tcPr>
            <w:tcW w:w="2166" w:type="dxa"/>
          </w:tcPr>
          <w:p w14:paraId="56D627FE" w14:textId="77777777" w:rsidR="00CB0A08" w:rsidRPr="00123300" w:rsidRDefault="00CB0A08" w:rsidP="00FE5914">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ISO/IEC 20000-1:2018</w:t>
            </w:r>
          </w:p>
        </w:tc>
        <w:tc>
          <w:tcPr>
            <w:tcW w:w="4315" w:type="dxa"/>
          </w:tcPr>
          <w:p w14:paraId="70C9278B" w14:textId="77777777" w:rsidR="00CB0A08" w:rsidRPr="00F15C42" w:rsidRDefault="00CB0A08" w:rsidP="00FE5914">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Service Management</w:t>
            </w:r>
          </w:p>
        </w:tc>
        <w:tc>
          <w:tcPr>
            <w:tcW w:w="2340" w:type="dxa"/>
            <w:vMerge/>
          </w:tcPr>
          <w:p w14:paraId="6FFEEB64" w14:textId="77777777" w:rsidR="00CB0A08" w:rsidRPr="00F15C42" w:rsidRDefault="00CB0A08" w:rsidP="00FE5914">
            <w:pPr>
              <w:jc w:val="center"/>
              <w:rPr>
                <w:rFonts w:ascii="Arial" w:eastAsia="Times New Roman" w:hAnsi="Arial" w:cs="Times New Roman"/>
                <w:sz w:val="18"/>
                <w:szCs w:val="24"/>
                <w:lang w:eastAsia="en-CA"/>
              </w:rPr>
            </w:pPr>
          </w:p>
        </w:tc>
      </w:tr>
      <w:tr w:rsidR="00CB0A08" w:rsidRPr="00F15C42" w14:paraId="0323DE3E" w14:textId="77777777" w:rsidTr="00FE5914">
        <w:tc>
          <w:tcPr>
            <w:tcW w:w="794" w:type="dxa"/>
          </w:tcPr>
          <w:p w14:paraId="10D55F20" w14:textId="77777777" w:rsidR="00CB0A08" w:rsidRPr="00F15C42" w:rsidRDefault="00CB0A08" w:rsidP="00FE5914">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4</w:t>
            </w:r>
          </w:p>
        </w:tc>
        <w:tc>
          <w:tcPr>
            <w:tcW w:w="2166" w:type="dxa"/>
          </w:tcPr>
          <w:p w14:paraId="64AF0B04" w14:textId="77777777" w:rsidR="00CB0A08" w:rsidRPr="00123300" w:rsidRDefault="00CB0A08" w:rsidP="00FE5914">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ISO/IEC 14001:2015</w:t>
            </w:r>
          </w:p>
        </w:tc>
        <w:tc>
          <w:tcPr>
            <w:tcW w:w="4315" w:type="dxa"/>
          </w:tcPr>
          <w:p w14:paraId="2A4681BB" w14:textId="77777777" w:rsidR="00CB0A08" w:rsidRPr="00F15C42" w:rsidRDefault="00CB0A08" w:rsidP="00FE5914">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Environmental Management</w:t>
            </w:r>
          </w:p>
        </w:tc>
        <w:tc>
          <w:tcPr>
            <w:tcW w:w="2340" w:type="dxa"/>
            <w:vMerge/>
          </w:tcPr>
          <w:p w14:paraId="6DEB9E46" w14:textId="77777777" w:rsidR="00CB0A08" w:rsidRPr="00F15C42" w:rsidRDefault="00CB0A08" w:rsidP="00FE5914">
            <w:pPr>
              <w:jc w:val="center"/>
              <w:rPr>
                <w:rFonts w:ascii="Arial" w:eastAsia="Times New Roman" w:hAnsi="Arial" w:cs="Times New Roman"/>
                <w:sz w:val="18"/>
                <w:szCs w:val="24"/>
                <w:lang w:eastAsia="en-CA"/>
              </w:rPr>
            </w:pPr>
          </w:p>
        </w:tc>
      </w:tr>
      <w:tr w:rsidR="00CB0A08" w:rsidRPr="00F15C42" w14:paraId="632BAC85" w14:textId="77777777" w:rsidTr="00FE5914">
        <w:tc>
          <w:tcPr>
            <w:tcW w:w="794" w:type="dxa"/>
          </w:tcPr>
          <w:p w14:paraId="121198EA" w14:textId="77777777" w:rsidR="00CB0A08" w:rsidRPr="00F15C42" w:rsidRDefault="00CB0A08" w:rsidP="00FE5914">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5</w:t>
            </w:r>
          </w:p>
        </w:tc>
        <w:tc>
          <w:tcPr>
            <w:tcW w:w="2166" w:type="dxa"/>
          </w:tcPr>
          <w:p w14:paraId="4823F8D0" w14:textId="77777777" w:rsidR="00CB0A08" w:rsidRPr="00123300" w:rsidRDefault="00CB0A08" w:rsidP="00FE5914">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ISO/IEC 22301:2012</w:t>
            </w:r>
          </w:p>
        </w:tc>
        <w:tc>
          <w:tcPr>
            <w:tcW w:w="4315" w:type="dxa"/>
          </w:tcPr>
          <w:p w14:paraId="270D300F" w14:textId="77777777" w:rsidR="00CB0A08" w:rsidRPr="00F15C42" w:rsidRDefault="00CB0A08" w:rsidP="00FE5914">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Business Continuity Management</w:t>
            </w:r>
          </w:p>
        </w:tc>
        <w:tc>
          <w:tcPr>
            <w:tcW w:w="2340" w:type="dxa"/>
            <w:vMerge/>
          </w:tcPr>
          <w:p w14:paraId="3FF989E3" w14:textId="77777777" w:rsidR="00CB0A08" w:rsidRPr="00F15C42" w:rsidRDefault="00CB0A08" w:rsidP="00FE5914">
            <w:pPr>
              <w:jc w:val="center"/>
              <w:rPr>
                <w:rFonts w:ascii="Arial" w:eastAsia="Times New Roman" w:hAnsi="Arial" w:cs="Times New Roman"/>
                <w:sz w:val="18"/>
                <w:szCs w:val="24"/>
                <w:lang w:eastAsia="en-CA"/>
              </w:rPr>
            </w:pPr>
          </w:p>
        </w:tc>
      </w:tr>
      <w:tr w:rsidR="00CB0A08" w:rsidRPr="00F15C42" w14:paraId="4ED591B5" w14:textId="77777777" w:rsidTr="00FE5914">
        <w:tc>
          <w:tcPr>
            <w:tcW w:w="794" w:type="dxa"/>
          </w:tcPr>
          <w:p w14:paraId="1D86491A" w14:textId="77777777" w:rsidR="00CB0A08" w:rsidRPr="00F15C42" w:rsidRDefault="00CB0A08" w:rsidP="00FE5914">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6</w:t>
            </w:r>
          </w:p>
        </w:tc>
        <w:tc>
          <w:tcPr>
            <w:tcW w:w="2166" w:type="dxa"/>
          </w:tcPr>
          <w:p w14:paraId="43AF3BAB" w14:textId="77777777" w:rsidR="00CB0A08" w:rsidRPr="00123300" w:rsidRDefault="00CB0A08" w:rsidP="00FE5914">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Cyber Essentials</w:t>
            </w:r>
          </w:p>
        </w:tc>
        <w:tc>
          <w:tcPr>
            <w:tcW w:w="4315" w:type="dxa"/>
          </w:tcPr>
          <w:p w14:paraId="3490E511" w14:textId="77777777" w:rsidR="00CB0A08" w:rsidRPr="00F15C42" w:rsidRDefault="00CB0A08" w:rsidP="00FE5914">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Cyber Essentials</w:t>
            </w:r>
          </w:p>
        </w:tc>
        <w:tc>
          <w:tcPr>
            <w:tcW w:w="2340" w:type="dxa"/>
            <w:vMerge/>
          </w:tcPr>
          <w:p w14:paraId="35B07DC4" w14:textId="77777777" w:rsidR="00CB0A08" w:rsidRPr="00F15C42" w:rsidRDefault="00CB0A08" w:rsidP="00FE5914">
            <w:pPr>
              <w:jc w:val="center"/>
              <w:rPr>
                <w:rFonts w:ascii="Arial" w:eastAsia="Times New Roman" w:hAnsi="Arial" w:cs="Times New Roman"/>
                <w:sz w:val="18"/>
                <w:szCs w:val="24"/>
                <w:lang w:eastAsia="en-CA"/>
              </w:rPr>
            </w:pPr>
          </w:p>
        </w:tc>
      </w:tr>
      <w:tr w:rsidR="00CB0A08" w:rsidRPr="00F15C42" w14:paraId="19B079DB" w14:textId="77777777" w:rsidTr="00FE5914">
        <w:tc>
          <w:tcPr>
            <w:tcW w:w="794" w:type="dxa"/>
          </w:tcPr>
          <w:p w14:paraId="7243ADDC" w14:textId="77777777" w:rsidR="00CB0A08" w:rsidRPr="00F15C42" w:rsidRDefault="00CB0A08" w:rsidP="00FE5914">
            <w:pPr>
              <w:jc w:val="center"/>
              <w:rPr>
                <w:rFonts w:ascii="Arial" w:eastAsia="Times New Roman" w:hAnsi="Arial" w:cs="Times New Roman"/>
                <w:sz w:val="18"/>
                <w:szCs w:val="24"/>
                <w:lang w:eastAsia="en-CA"/>
              </w:rPr>
            </w:pPr>
            <w:r>
              <w:rPr>
                <w:rFonts w:ascii="Arial" w:eastAsia="Times New Roman" w:hAnsi="Arial" w:cs="Times New Roman"/>
                <w:sz w:val="18"/>
                <w:szCs w:val="24"/>
                <w:lang w:eastAsia="en-CA"/>
              </w:rPr>
              <w:t>7</w:t>
            </w:r>
          </w:p>
        </w:tc>
        <w:tc>
          <w:tcPr>
            <w:tcW w:w="2166" w:type="dxa"/>
          </w:tcPr>
          <w:p w14:paraId="2971BA59" w14:textId="77777777" w:rsidR="00CB0A08" w:rsidRPr="00123300" w:rsidRDefault="00CB0A08" w:rsidP="00FE5914">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 xml:space="preserve">ISO 27701 </w:t>
            </w:r>
          </w:p>
        </w:tc>
        <w:tc>
          <w:tcPr>
            <w:tcW w:w="4315" w:type="dxa"/>
          </w:tcPr>
          <w:p w14:paraId="0B06B1B1" w14:textId="77777777" w:rsidR="00CB0A08" w:rsidRPr="00811525" w:rsidRDefault="00CB0A08" w:rsidP="00FE5914">
            <w:pPr>
              <w:spacing w:after="0" w:line="240" w:lineRule="auto"/>
              <w:rPr>
                <w:rFonts w:ascii="Arial" w:eastAsia="Times New Roman" w:hAnsi="Arial" w:cs="Times New Roman"/>
                <w:color w:val="auto"/>
                <w:sz w:val="18"/>
                <w:szCs w:val="24"/>
                <w:lang w:eastAsia="en-CA"/>
              </w:rPr>
            </w:pPr>
            <w:r w:rsidRPr="00811525">
              <w:rPr>
                <w:rFonts w:ascii="Arial" w:eastAsia="Times New Roman" w:hAnsi="Arial" w:cs="Times New Roman"/>
                <w:sz w:val="18"/>
                <w:szCs w:val="24"/>
                <w:lang w:eastAsia="en-CA"/>
              </w:rPr>
              <w:t>An extension of​ ISO/IEC 27001 and ISO/IEC 27002 for Privacy </w:t>
            </w:r>
          </w:p>
          <w:p w14:paraId="1ADB801C" w14:textId="77777777" w:rsidR="00CB0A08" w:rsidRPr="00811525" w:rsidRDefault="00CB0A08" w:rsidP="00FE5914">
            <w:pPr>
              <w:rPr>
                <w:rFonts w:ascii="Arial" w:eastAsia="Times New Roman" w:hAnsi="Arial" w:cs="Times New Roman"/>
                <w:sz w:val="18"/>
                <w:szCs w:val="24"/>
                <w:lang w:val="en-US" w:eastAsia="en-CA"/>
              </w:rPr>
            </w:pPr>
          </w:p>
        </w:tc>
        <w:tc>
          <w:tcPr>
            <w:tcW w:w="2340" w:type="dxa"/>
            <w:vMerge/>
          </w:tcPr>
          <w:p w14:paraId="71CE7D79" w14:textId="77777777" w:rsidR="00CB0A08" w:rsidRPr="00F15C42" w:rsidRDefault="00CB0A08" w:rsidP="00FE5914">
            <w:pPr>
              <w:jc w:val="center"/>
              <w:rPr>
                <w:rFonts w:ascii="Arial" w:eastAsia="Times New Roman" w:hAnsi="Arial" w:cs="Times New Roman"/>
                <w:sz w:val="18"/>
                <w:szCs w:val="24"/>
                <w:lang w:eastAsia="en-CA"/>
              </w:rPr>
            </w:pPr>
          </w:p>
        </w:tc>
      </w:tr>
      <w:bookmarkEnd w:id="0"/>
    </w:tbl>
    <w:p w14:paraId="276F2071" w14:textId="77777777" w:rsidR="00CD166F" w:rsidRDefault="00CD166F" w:rsidP="00643EE0">
      <w:pPr>
        <w:rPr>
          <w:color w:val="009999"/>
          <w:szCs w:val="20"/>
        </w:rPr>
      </w:pPr>
    </w:p>
    <w:p w14:paraId="6AAC734D" w14:textId="6D3C56AE" w:rsidR="00CB0A08" w:rsidRDefault="00CD166F" w:rsidP="00643EE0">
      <w:pPr>
        <w:rPr>
          <w:color w:val="009999"/>
          <w:szCs w:val="20"/>
        </w:rPr>
      </w:pPr>
      <w:r>
        <w:rPr>
          <w:color w:val="009999"/>
          <w:szCs w:val="20"/>
        </w:rPr>
        <w:t>Updated : April 2024</w:t>
      </w:r>
    </w:p>
    <w:sectPr w:rsidR="00CB0A08" w:rsidSect="0046689C">
      <w:headerReference w:type="default" r:id="rId20"/>
      <w:footerReference w:type="default" r:id="rId21"/>
      <w:headerReference w:type="first" r:id="rId22"/>
      <w:footerReference w:type="first" r:id="rId23"/>
      <w:pgSz w:w="11906" w:h="16838" w:code="9"/>
      <w:pgMar w:top="1440" w:right="1080" w:bottom="1440" w:left="108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AD05" w14:textId="77777777" w:rsidR="0046689C" w:rsidRDefault="0046689C" w:rsidP="00CA3E45">
      <w:pPr>
        <w:spacing w:after="0" w:line="240" w:lineRule="auto"/>
      </w:pPr>
      <w:r>
        <w:separator/>
      </w:r>
    </w:p>
  </w:endnote>
  <w:endnote w:type="continuationSeparator" w:id="0">
    <w:p w14:paraId="5A46DCA2" w14:textId="77777777" w:rsidR="0046689C" w:rsidRDefault="0046689C" w:rsidP="00CA3E45">
      <w:pPr>
        <w:spacing w:after="0" w:line="240" w:lineRule="auto"/>
      </w:pPr>
      <w:r>
        <w:continuationSeparator/>
      </w:r>
    </w:p>
  </w:endnote>
  <w:endnote w:type="continuationNotice" w:id="1">
    <w:p w14:paraId="54834528" w14:textId="77777777" w:rsidR="0046689C" w:rsidRDefault="00466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kanska Sans Pro">
    <w:altName w:val="Calibri"/>
    <w:panose1 w:val="00000000000000000000"/>
    <w:charset w:val="00"/>
    <w:family w:val="modern"/>
    <w:notTrueType/>
    <w:pitch w:val="variable"/>
    <w:sig w:usb0="800000AF" w:usb1="40000048"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3C86" w14:textId="2ECD69D1" w:rsidR="005C66E7" w:rsidRDefault="00EB27D7">
    <w:pPr>
      <w:pStyle w:val="Footer"/>
    </w:pPr>
    <w:r>
      <w:t>@Colt Technology Services</w:t>
    </w:r>
    <w:r w:rsidR="005C66E7">
      <w:tab/>
    </w:r>
    <w:r w:rsidR="005C66E7">
      <w:fldChar w:fldCharType="begin"/>
    </w:r>
    <w:r w:rsidR="005C66E7">
      <w:instrText xml:space="preserve"> PAGE  \* Arabic  \* MERGEFORMAT </w:instrText>
    </w:r>
    <w:r w:rsidR="005C66E7">
      <w:fldChar w:fldCharType="separate"/>
    </w:r>
    <w:r w:rsidR="006E59B0">
      <w:rPr>
        <w:noProof/>
      </w:rPr>
      <w:t>2</w:t>
    </w:r>
    <w:r w:rsidR="005C66E7">
      <w:fldChar w:fldCharType="end"/>
    </w:r>
    <w:r w:rsidR="005C66E7">
      <w:t xml:space="preserve"> / </w:t>
    </w:r>
    <w:r w:rsidR="00F277E2">
      <w:rPr>
        <w:noProof/>
      </w:rPr>
      <w:fldChar w:fldCharType="begin"/>
    </w:r>
    <w:r w:rsidR="00F277E2">
      <w:rPr>
        <w:noProof/>
      </w:rPr>
      <w:instrText xml:space="preserve"> NUMPAGES  \* Arabic  \* MERGEFORMAT </w:instrText>
    </w:r>
    <w:r w:rsidR="00F277E2">
      <w:rPr>
        <w:noProof/>
      </w:rPr>
      <w:fldChar w:fldCharType="separate"/>
    </w:r>
    <w:r w:rsidR="006E59B0">
      <w:rPr>
        <w:noProof/>
      </w:rPr>
      <w:t>2</w:t>
    </w:r>
    <w:r w:rsidR="00F277E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68033"/>
      <w:docPartObj>
        <w:docPartGallery w:val="Page Numbers (Bottom of Page)"/>
        <w:docPartUnique/>
      </w:docPartObj>
    </w:sdtPr>
    <w:sdtEndPr>
      <w:rPr>
        <w:noProof/>
      </w:rPr>
    </w:sdtEndPr>
    <w:sdtContent>
      <w:p w14:paraId="054B0A42" w14:textId="4E4913E4" w:rsidR="00422C62" w:rsidRDefault="00422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5F3C2" w14:textId="49C08ED9" w:rsidR="00CA3E45" w:rsidRDefault="00CA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479D" w14:textId="77777777" w:rsidR="0046689C" w:rsidRDefault="0046689C" w:rsidP="00CA3E45">
      <w:pPr>
        <w:spacing w:after="0" w:line="240" w:lineRule="auto"/>
      </w:pPr>
      <w:r>
        <w:separator/>
      </w:r>
    </w:p>
  </w:footnote>
  <w:footnote w:type="continuationSeparator" w:id="0">
    <w:p w14:paraId="40DBFE1D" w14:textId="77777777" w:rsidR="0046689C" w:rsidRDefault="0046689C" w:rsidP="00CA3E45">
      <w:pPr>
        <w:spacing w:after="0" w:line="240" w:lineRule="auto"/>
      </w:pPr>
      <w:r>
        <w:continuationSeparator/>
      </w:r>
    </w:p>
  </w:footnote>
  <w:footnote w:type="continuationNotice" w:id="1">
    <w:p w14:paraId="59375354" w14:textId="77777777" w:rsidR="0046689C" w:rsidRDefault="00466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4F8C" w14:textId="77777777" w:rsidR="005C66E7" w:rsidRPr="00D64AE9" w:rsidRDefault="00393FA4">
    <w:pPr>
      <w:pStyle w:val="Header"/>
      <w:rPr>
        <w:sz w:val="24"/>
        <w:szCs w:val="24"/>
      </w:rPr>
    </w:pPr>
    <w:r>
      <w:rPr>
        <w:noProof/>
      </w:rPr>
      <w:drawing>
        <wp:anchor distT="0" distB="0" distL="114300" distR="114300" simplePos="0" relativeHeight="251660288" behindDoc="1" locked="1" layoutInCell="1" allowOverlap="1" wp14:anchorId="6D090D3E" wp14:editId="0F4DFDBC">
          <wp:simplePos x="0" y="0"/>
          <wp:positionH relativeFrom="page">
            <wp:posOffset>7620</wp:posOffset>
          </wp:positionH>
          <wp:positionV relativeFrom="page">
            <wp:posOffset>7620</wp:posOffset>
          </wp:positionV>
          <wp:extent cx="7590790" cy="2299335"/>
          <wp:effectExtent l="0" t="0" r="381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229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A1A8" w14:textId="77777777" w:rsidR="00CA3E45" w:rsidRDefault="00CA3E45">
    <w:pPr>
      <w:pStyle w:val="Header"/>
    </w:pPr>
    <w:r>
      <w:rPr>
        <w:noProof/>
      </w:rPr>
      <w:drawing>
        <wp:anchor distT="0" distB="0" distL="114300" distR="114300" simplePos="0" relativeHeight="251658240" behindDoc="1" locked="1" layoutInCell="1" allowOverlap="1" wp14:anchorId="3E0BD2AA" wp14:editId="669D9487">
          <wp:simplePos x="0" y="0"/>
          <wp:positionH relativeFrom="page">
            <wp:posOffset>-40005</wp:posOffset>
          </wp:positionH>
          <wp:positionV relativeFrom="page">
            <wp:posOffset>13335</wp:posOffset>
          </wp:positionV>
          <wp:extent cx="7590790" cy="22993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229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88A7D1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E14939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6FE133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56EE06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9262D"/>
    <w:multiLevelType w:val="multilevel"/>
    <w:tmpl w:val="AC2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357A4"/>
    <w:multiLevelType w:val="multilevel"/>
    <w:tmpl w:val="F642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B43F6"/>
    <w:multiLevelType w:val="hybridMultilevel"/>
    <w:tmpl w:val="7C9AA670"/>
    <w:lvl w:ilvl="0" w:tplc="9014F3E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4769"/>
    <w:multiLevelType w:val="hybridMultilevel"/>
    <w:tmpl w:val="F980651E"/>
    <w:lvl w:ilvl="0" w:tplc="9F40DD20">
      <w:start w:val="1"/>
      <w:numFmt w:val="bullet"/>
      <w:lvlText w:val=""/>
      <w:lvlJc w:val="left"/>
      <w:pPr>
        <w:ind w:left="720" w:hanging="360"/>
      </w:pPr>
      <w:rPr>
        <w:rFonts w:ascii="Symbol" w:hAnsi="Symbol" w:hint="default"/>
        <w:color w:val="484A47" w:themeColor="text2"/>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200D"/>
    <w:multiLevelType w:val="hybridMultilevel"/>
    <w:tmpl w:val="AB4625A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38CC1FD5"/>
    <w:multiLevelType w:val="hybridMultilevel"/>
    <w:tmpl w:val="E8B061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A89409D"/>
    <w:multiLevelType w:val="hybridMultilevel"/>
    <w:tmpl w:val="04F6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B318A"/>
    <w:multiLevelType w:val="hybridMultilevel"/>
    <w:tmpl w:val="66AE7C66"/>
    <w:lvl w:ilvl="0" w:tplc="C0D09346">
      <w:start w:val="1"/>
      <w:numFmt w:val="bullet"/>
      <w:lvlText w:val="•"/>
      <w:lvlJc w:val="left"/>
      <w:pPr>
        <w:ind w:left="720"/>
      </w:pPr>
      <w:rPr>
        <w:rFonts w:ascii="Arial" w:eastAsia="Arial" w:hAnsi="Arial" w:cs="Arial"/>
        <w:b w:val="0"/>
        <w:i w:val="0"/>
        <w:strike w:val="0"/>
        <w:dstrike w:val="0"/>
        <w:color w:val="38C6F4"/>
        <w:sz w:val="18"/>
        <w:szCs w:val="18"/>
        <w:u w:val="none" w:color="000000"/>
        <w:bdr w:val="none" w:sz="0" w:space="0" w:color="auto"/>
        <w:shd w:val="clear" w:color="auto" w:fill="auto"/>
        <w:vertAlign w:val="baseline"/>
      </w:rPr>
    </w:lvl>
    <w:lvl w:ilvl="1" w:tplc="8790177C">
      <w:start w:val="1"/>
      <w:numFmt w:val="bullet"/>
      <w:lvlText w:val="o"/>
      <w:lvlJc w:val="left"/>
      <w:pPr>
        <w:ind w:left="135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2" w:tplc="43C0A5AA">
      <w:start w:val="1"/>
      <w:numFmt w:val="bullet"/>
      <w:lvlText w:val="▪"/>
      <w:lvlJc w:val="left"/>
      <w:pPr>
        <w:ind w:left="207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3" w:tplc="EA04217A">
      <w:start w:val="1"/>
      <w:numFmt w:val="bullet"/>
      <w:lvlText w:val="•"/>
      <w:lvlJc w:val="left"/>
      <w:pPr>
        <w:ind w:left="2790"/>
      </w:pPr>
      <w:rPr>
        <w:rFonts w:ascii="Arial" w:eastAsia="Arial" w:hAnsi="Arial" w:cs="Arial"/>
        <w:b w:val="0"/>
        <w:i w:val="0"/>
        <w:strike w:val="0"/>
        <w:dstrike w:val="0"/>
        <w:color w:val="38C6F4"/>
        <w:sz w:val="18"/>
        <w:szCs w:val="18"/>
        <w:u w:val="none" w:color="000000"/>
        <w:bdr w:val="none" w:sz="0" w:space="0" w:color="auto"/>
        <w:shd w:val="clear" w:color="auto" w:fill="auto"/>
        <w:vertAlign w:val="baseline"/>
      </w:rPr>
    </w:lvl>
    <w:lvl w:ilvl="4" w:tplc="95DE0BD2">
      <w:start w:val="1"/>
      <w:numFmt w:val="bullet"/>
      <w:lvlText w:val="o"/>
      <w:lvlJc w:val="left"/>
      <w:pPr>
        <w:ind w:left="351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5" w:tplc="B4E084F8">
      <w:start w:val="1"/>
      <w:numFmt w:val="bullet"/>
      <w:lvlText w:val="▪"/>
      <w:lvlJc w:val="left"/>
      <w:pPr>
        <w:ind w:left="423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6" w:tplc="BB761820">
      <w:start w:val="1"/>
      <w:numFmt w:val="bullet"/>
      <w:lvlText w:val="•"/>
      <w:lvlJc w:val="left"/>
      <w:pPr>
        <w:ind w:left="4950"/>
      </w:pPr>
      <w:rPr>
        <w:rFonts w:ascii="Arial" w:eastAsia="Arial" w:hAnsi="Arial" w:cs="Arial"/>
        <w:b w:val="0"/>
        <w:i w:val="0"/>
        <w:strike w:val="0"/>
        <w:dstrike w:val="0"/>
        <w:color w:val="38C6F4"/>
        <w:sz w:val="18"/>
        <w:szCs w:val="18"/>
        <w:u w:val="none" w:color="000000"/>
        <w:bdr w:val="none" w:sz="0" w:space="0" w:color="auto"/>
        <w:shd w:val="clear" w:color="auto" w:fill="auto"/>
        <w:vertAlign w:val="baseline"/>
      </w:rPr>
    </w:lvl>
    <w:lvl w:ilvl="7" w:tplc="FCBC466A">
      <w:start w:val="1"/>
      <w:numFmt w:val="bullet"/>
      <w:lvlText w:val="o"/>
      <w:lvlJc w:val="left"/>
      <w:pPr>
        <w:ind w:left="567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8" w:tplc="AE94E888">
      <w:start w:val="1"/>
      <w:numFmt w:val="bullet"/>
      <w:lvlText w:val="▪"/>
      <w:lvlJc w:val="left"/>
      <w:pPr>
        <w:ind w:left="639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abstractNum>
  <w:abstractNum w:abstractNumId="12" w15:restartNumberingAfterBreak="0">
    <w:nsid w:val="737B0FFA"/>
    <w:multiLevelType w:val="hybridMultilevel"/>
    <w:tmpl w:val="4D727C34"/>
    <w:lvl w:ilvl="0" w:tplc="50DC7CA8">
      <w:start w:val="1"/>
      <w:numFmt w:val="bullet"/>
      <w:lvlText w:val="•"/>
      <w:lvlJc w:val="left"/>
      <w:pPr>
        <w:tabs>
          <w:tab w:val="num" w:pos="720"/>
        </w:tabs>
        <w:ind w:left="720" w:hanging="360"/>
      </w:pPr>
      <w:rPr>
        <w:rFonts w:ascii="Arial" w:hAnsi="Arial" w:hint="default"/>
      </w:rPr>
    </w:lvl>
    <w:lvl w:ilvl="1" w:tplc="CDAE39B8" w:tentative="1">
      <w:start w:val="1"/>
      <w:numFmt w:val="bullet"/>
      <w:lvlText w:val="•"/>
      <w:lvlJc w:val="left"/>
      <w:pPr>
        <w:tabs>
          <w:tab w:val="num" w:pos="1440"/>
        </w:tabs>
        <w:ind w:left="1440" w:hanging="360"/>
      </w:pPr>
      <w:rPr>
        <w:rFonts w:ascii="Arial" w:hAnsi="Arial" w:hint="default"/>
      </w:rPr>
    </w:lvl>
    <w:lvl w:ilvl="2" w:tplc="9F0ABC50" w:tentative="1">
      <w:start w:val="1"/>
      <w:numFmt w:val="bullet"/>
      <w:lvlText w:val="•"/>
      <w:lvlJc w:val="left"/>
      <w:pPr>
        <w:tabs>
          <w:tab w:val="num" w:pos="2160"/>
        </w:tabs>
        <w:ind w:left="2160" w:hanging="360"/>
      </w:pPr>
      <w:rPr>
        <w:rFonts w:ascii="Arial" w:hAnsi="Arial" w:hint="default"/>
      </w:rPr>
    </w:lvl>
    <w:lvl w:ilvl="3" w:tplc="CDE8B520" w:tentative="1">
      <w:start w:val="1"/>
      <w:numFmt w:val="bullet"/>
      <w:lvlText w:val="•"/>
      <w:lvlJc w:val="left"/>
      <w:pPr>
        <w:tabs>
          <w:tab w:val="num" w:pos="2880"/>
        </w:tabs>
        <w:ind w:left="2880" w:hanging="360"/>
      </w:pPr>
      <w:rPr>
        <w:rFonts w:ascii="Arial" w:hAnsi="Arial" w:hint="default"/>
      </w:rPr>
    </w:lvl>
    <w:lvl w:ilvl="4" w:tplc="022EFFC0" w:tentative="1">
      <w:start w:val="1"/>
      <w:numFmt w:val="bullet"/>
      <w:lvlText w:val="•"/>
      <w:lvlJc w:val="left"/>
      <w:pPr>
        <w:tabs>
          <w:tab w:val="num" w:pos="3600"/>
        </w:tabs>
        <w:ind w:left="3600" w:hanging="360"/>
      </w:pPr>
      <w:rPr>
        <w:rFonts w:ascii="Arial" w:hAnsi="Arial" w:hint="default"/>
      </w:rPr>
    </w:lvl>
    <w:lvl w:ilvl="5" w:tplc="2DC42436" w:tentative="1">
      <w:start w:val="1"/>
      <w:numFmt w:val="bullet"/>
      <w:lvlText w:val="•"/>
      <w:lvlJc w:val="left"/>
      <w:pPr>
        <w:tabs>
          <w:tab w:val="num" w:pos="4320"/>
        </w:tabs>
        <w:ind w:left="4320" w:hanging="360"/>
      </w:pPr>
      <w:rPr>
        <w:rFonts w:ascii="Arial" w:hAnsi="Arial" w:hint="default"/>
      </w:rPr>
    </w:lvl>
    <w:lvl w:ilvl="6" w:tplc="79BE13B8" w:tentative="1">
      <w:start w:val="1"/>
      <w:numFmt w:val="bullet"/>
      <w:lvlText w:val="•"/>
      <w:lvlJc w:val="left"/>
      <w:pPr>
        <w:tabs>
          <w:tab w:val="num" w:pos="5040"/>
        </w:tabs>
        <w:ind w:left="5040" w:hanging="360"/>
      </w:pPr>
      <w:rPr>
        <w:rFonts w:ascii="Arial" w:hAnsi="Arial" w:hint="default"/>
      </w:rPr>
    </w:lvl>
    <w:lvl w:ilvl="7" w:tplc="FFDE79A4" w:tentative="1">
      <w:start w:val="1"/>
      <w:numFmt w:val="bullet"/>
      <w:lvlText w:val="•"/>
      <w:lvlJc w:val="left"/>
      <w:pPr>
        <w:tabs>
          <w:tab w:val="num" w:pos="5760"/>
        </w:tabs>
        <w:ind w:left="5760" w:hanging="360"/>
      </w:pPr>
      <w:rPr>
        <w:rFonts w:ascii="Arial" w:hAnsi="Arial" w:hint="default"/>
      </w:rPr>
    </w:lvl>
    <w:lvl w:ilvl="8" w:tplc="F756422C" w:tentative="1">
      <w:start w:val="1"/>
      <w:numFmt w:val="bullet"/>
      <w:lvlText w:val="•"/>
      <w:lvlJc w:val="left"/>
      <w:pPr>
        <w:tabs>
          <w:tab w:val="num" w:pos="6480"/>
        </w:tabs>
        <w:ind w:left="6480" w:hanging="360"/>
      </w:pPr>
      <w:rPr>
        <w:rFonts w:ascii="Arial" w:hAnsi="Arial" w:hint="default"/>
      </w:rPr>
    </w:lvl>
  </w:abstractNum>
  <w:num w:numId="1" w16cid:durableId="1008141598">
    <w:abstractNumId w:val="3"/>
  </w:num>
  <w:num w:numId="2" w16cid:durableId="139886231">
    <w:abstractNumId w:val="1"/>
  </w:num>
  <w:num w:numId="3" w16cid:durableId="864292456">
    <w:abstractNumId w:val="2"/>
  </w:num>
  <w:num w:numId="4" w16cid:durableId="270281411">
    <w:abstractNumId w:val="0"/>
  </w:num>
  <w:num w:numId="5" w16cid:durableId="896668602">
    <w:abstractNumId w:val="11"/>
  </w:num>
  <w:num w:numId="6" w16cid:durableId="634482775">
    <w:abstractNumId w:val="12"/>
  </w:num>
  <w:num w:numId="7" w16cid:durableId="1076053260">
    <w:abstractNumId w:val="9"/>
  </w:num>
  <w:num w:numId="8" w16cid:durableId="763577059">
    <w:abstractNumId w:val="6"/>
  </w:num>
  <w:num w:numId="9" w16cid:durableId="728696921">
    <w:abstractNumId w:val="5"/>
  </w:num>
  <w:num w:numId="10" w16cid:durableId="1992977656">
    <w:abstractNumId w:val="4"/>
  </w:num>
  <w:num w:numId="11" w16cid:durableId="346911446">
    <w:abstractNumId w:val="8"/>
  </w:num>
  <w:num w:numId="12" w16cid:durableId="1982927823">
    <w:abstractNumId w:val="10"/>
  </w:num>
  <w:num w:numId="13" w16cid:durableId="451561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C4"/>
    <w:rsid w:val="00000F5F"/>
    <w:rsid w:val="000119BB"/>
    <w:rsid w:val="000151FE"/>
    <w:rsid w:val="000166AE"/>
    <w:rsid w:val="00017326"/>
    <w:rsid w:val="00024A1C"/>
    <w:rsid w:val="00061C4F"/>
    <w:rsid w:val="000673CE"/>
    <w:rsid w:val="000A3E88"/>
    <w:rsid w:val="000A51D9"/>
    <w:rsid w:val="000D52E2"/>
    <w:rsid w:val="000E4122"/>
    <w:rsid w:val="000E624E"/>
    <w:rsid w:val="000F107F"/>
    <w:rsid w:val="00102ED0"/>
    <w:rsid w:val="00115ACF"/>
    <w:rsid w:val="00134FD1"/>
    <w:rsid w:val="00145240"/>
    <w:rsid w:val="00145CB3"/>
    <w:rsid w:val="001539F1"/>
    <w:rsid w:val="00191C63"/>
    <w:rsid w:val="001A1A73"/>
    <w:rsid w:val="001C1F14"/>
    <w:rsid w:val="001C298C"/>
    <w:rsid w:val="001E5239"/>
    <w:rsid w:val="001E7D3E"/>
    <w:rsid w:val="00214100"/>
    <w:rsid w:val="00252D04"/>
    <w:rsid w:val="00254FE2"/>
    <w:rsid w:val="00265104"/>
    <w:rsid w:val="00275136"/>
    <w:rsid w:val="002849E5"/>
    <w:rsid w:val="002B1B13"/>
    <w:rsid w:val="002B2CC1"/>
    <w:rsid w:val="002C0747"/>
    <w:rsid w:val="002C2B0D"/>
    <w:rsid w:val="002F2697"/>
    <w:rsid w:val="00301B2B"/>
    <w:rsid w:val="00301EE1"/>
    <w:rsid w:val="00321064"/>
    <w:rsid w:val="0032373B"/>
    <w:rsid w:val="00337680"/>
    <w:rsid w:val="0034403A"/>
    <w:rsid w:val="00374CFD"/>
    <w:rsid w:val="0039072D"/>
    <w:rsid w:val="00393FA4"/>
    <w:rsid w:val="003A248A"/>
    <w:rsid w:val="003A7D69"/>
    <w:rsid w:val="003B0369"/>
    <w:rsid w:val="003B0475"/>
    <w:rsid w:val="003C033C"/>
    <w:rsid w:val="00400A5F"/>
    <w:rsid w:val="004052BC"/>
    <w:rsid w:val="00422C62"/>
    <w:rsid w:val="0044488E"/>
    <w:rsid w:val="00457956"/>
    <w:rsid w:val="0046689C"/>
    <w:rsid w:val="00470EF8"/>
    <w:rsid w:val="004832BA"/>
    <w:rsid w:val="004909C7"/>
    <w:rsid w:val="00490E7A"/>
    <w:rsid w:val="00497A51"/>
    <w:rsid w:val="004A0DCC"/>
    <w:rsid w:val="004B1B7E"/>
    <w:rsid w:val="004B3825"/>
    <w:rsid w:val="004F23FF"/>
    <w:rsid w:val="004F43C5"/>
    <w:rsid w:val="004F5590"/>
    <w:rsid w:val="004F6840"/>
    <w:rsid w:val="00515B2D"/>
    <w:rsid w:val="00537ED1"/>
    <w:rsid w:val="00560279"/>
    <w:rsid w:val="005675BF"/>
    <w:rsid w:val="00584A86"/>
    <w:rsid w:val="005C66E7"/>
    <w:rsid w:val="005C743D"/>
    <w:rsid w:val="005D57BB"/>
    <w:rsid w:val="005D6D1E"/>
    <w:rsid w:val="00605199"/>
    <w:rsid w:val="00622F61"/>
    <w:rsid w:val="0062719C"/>
    <w:rsid w:val="00633C75"/>
    <w:rsid w:val="00643EE0"/>
    <w:rsid w:val="00645B2B"/>
    <w:rsid w:val="006757AB"/>
    <w:rsid w:val="006847D0"/>
    <w:rsid w:val="006A473D"/>
    <w:rsid w:val="006A5EE4"/>
    <w:rsid w:val="006A6E3F"/>
    <w:rsid w:val="006B16E0"/>
    <w:rsid w:val="006B467E"/>
    <w:rsid w:val="006B4816"/>
    <w:rsid w:val="006B6B42"/>
    <w:rsid w:val="006C1F64"/>
    <w:rsid w:val="006E3F1B"/>
    <w:rsid w:val="006E59B0"/>
    <w:rsid w:val="006F3438"/>
    <w:rsid w:val="00701EE6"/>
    <w:rsid w:val="00713332"/>
    <w:rsid w:val="00723CCA"/>
    <w:rsid w:val="007334FC"/>
    <w:rsid w:val="0075142F"/>
    <w:rsid w:val="00757DA5"/>
    <w:rsid w:val="0076614E"/>
    <w:rsid w:val="007A0FEB"/>
    <w:rsid w:val="007B1844"/>
    <w:rsid w:val="007B6427"/>
    <w:rsid w:val="007E264B"/>
    <w:rsid w:val="008014C0"/>
    <w:rsid w:val="00802864"/>
    <w:rsid w:val="00843982"/>
    <w:rsid w:val="008648A3"/>
    <w:rsid w:val="0087014E"/>
    <w:rsid w:val="008759BB"/>
    <w:rsid w:val="008C6DD2"/>
    <w:rsid w:val="008D0492"/>
    <w:rsid w:val="009064B5"/>
    <w:rsid w:val="009075B7"/>
    <w:rsid w:val="009324EE"/>
    <w:rsid w:val="00936C2A"/>
    <w:rsid w:val="009451EF"/>
    <w:rsid w:val="00950783"/>
    <w:rsid w:val="00967FAE"/>
    <w:rsid w:val="00974ACE"/>
    <w:rsid w:val="00981CC8"/>
    <w:rsid w:val="0098207B"/>
    <w:rsid w:val="00990479"/>
    <w:rsid w:val="009929F7"/>
    <w:rsid w:val="009931F9"/>
    <w:rsid w:val="009B0374"/>
    <w:rsid w:val="009B1D4C"/>
    <w:rsid w:val="009E5A91"/>
    <w:rsid w:val="00A16810"/>
    <w:rsid w:val="00A22F6C"/>
    <w:rsid w:val="00A30234"/>
    <w:rsid w:val="00A32E4D"/>
    <w:rsid w:val="00A351A3"/>
    <w:rsid w:val="00A624A9"/>
    <w:rsid w:val="00A652F7"/>
    <w:rsid w:val="00A73EAD"/>
    <w:rsid w:val="00AD49B0"/>
    <w:rsid w:val="00AE18F5"/>
    <w:rsid w:val="00AF6C3C"/>
    <w:rsid w:val="00B13E8D"/>
    <w:rsid w:val="00B1651C"/>
    <w:rsid w:val="00B24312"/>
    <w:rsid w:val="00B255BC"/>
    <w:rsid w:val="00B94222"/>
    <w:rsid w:val="00BA3A94"/>
    <w:rsid w:val="00BB6C0C"/>
    <w:rsid w:val="00BC266F"/>
    <w:rsid w:val="00BD740F"/>
    <w:rsid w:val="00C04F46"/>
    <w:rsid w:val="00C06646"/>
    <w:rsid w:val="00C33D04"/>
    <w:rsid w:val="00C707B3"/>
    <w:rsid w:val="00C7723E"/>
    <w:rsid w:val="00C81692"/>
    <w:rsid w:val="00CA3E45"/>
    <w:rsid w:val="00CA5B05"/>
    <w:rsid w:val="00CA6999"/>
    <w:rsid w:val="00CB0A08"/>
    <w:rsid w:val="00CC4C98"/>
    <w:rsid w:val="00CD166F"/>
    <w:rsid w:val="00CD6A20"/>
    <w:rsid w:val="00CF7F7F"/>
    <w:rsid w:val="00D26E00"/>
    <w:rsid w:val="00D41E0E"/>
    <w:rsid w:val="00D5297D"/>
    <w:rsid w:val="00D64AE9"/>
    <w:rsid w:val="00D67117"/>
    <w:rsid w:val="00D73DC4"/>
    <w:rsid w:val="00D85037"/>
    <w:rsid w:val="00DB41D4"/>
    <w:rsid w:val="00DB530F"/>
    <w:rsid w:val="00DB53F8"/>
    <w:rsid w:val="00DC1C60"/>
    <w:rsid w:val="00DE6A30"/>
    <w:rsid w:val="00DF3A91"/>
    <w:rsid w:val="00E05226"/>
    <w:rsid w:val="00E075B0"/>
    <w:rsid w:val="00E21FF9"/>
    <w:rsid w:val="00E4521F"/>
    <w:rsid w:val="00E512A8"/>
    <w:rsid w:val="00E56F4A"/>
    <w:rsid w:val="00E86580"/>
    <w:rsid w:val="00E94020"/>
    <w:rsid w:val="00EA03B3"/>
    <w:rsid w:val="00EA38FE"/>
    <w:rsid w:val="00EA44D9"/>
    <w:rsid w:val="00EB1D9D"/>
    <w:rsid w:val="00EB27D7"/>
    <w:rsid w:val="00EC67C6"/>
    <w:rsid w:val="00EE1843"/>
    <w:rsid w:val="00EF2892"/>
    <w:rsid w:val="00F00B78"/>
    <w:rsid w:val="00F1184D"/>
    <w:rsid w:val="00F277E2"/>
    <w:rsid w:val="00F32583"/>
    <w:rsid w:val="00F334D2"/>
    <w:rsid w:val="00F369BF"/>
    <w:rsid w:val="00F37579"/>
    <w:rsid w:val="00F557C9"/>
    <w:rsid w:val="00F55DFF"/>
    <w:rsid w:val="00F75796"/>
    <w:rsid w:val="00F93A7F"/>
    <w:rsid w:val="00F97A59"/>
    <w:rsid w:val="00FA38EC"/>
    <w:rsid w:val="00FA517A"/>
    <w:rsid w:val="00FE259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E323C"/>
  <w15:docId w15:val="{DD01A1A6-6BFC-4311-BD99-43EEF9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98"/>
    <w:pPr>
      <w:spacing w:after="120" w:line="240" w:lineRule="atLeast"/>
    </w:pPr>
    <w:rPr>
      <w:color w:val="000000" w:themeColor="text1"/>
      <w:sz w:val="20"/>
    </w:rPr>
  </w:style>
  <w:style w:type="paragraph" w:styleId="Heading1">
    <w:name w:val="heading 1"/>
    <w:basedOn w:val="Normal"/>
    <w:next w:val="Normal"/>
    <w:link w:val="Heading1Char"/>
    <w:uiPriority w:val="9"/>
    <w:qFormat/>
    <w:rsid w:val="00FE2595"/>
    <w:pPr>
      <w:keepNext/>
      <w:keepLines/>
      <w:spacing w:after="40" w:line="480" w:lineRule="atLeast"/>
      <w:outlineLvl w:val="0"/>
    </w:pPr>
    <w:rPr>
      <w:rFonts w:asciiTheme="majorHAnsi" w:eastAsiaTheme="majorEastAsia" w:hAnsiTheme="majorHAnsi" w:cstheme="majorBidi"/>
      <w:bCs/>
      <w:color w:val="00D7BD" w:themeColor="accent1"/>
      <w:sz w:val="42"/>
      <w:szCs w:val="28"/>
    </w:rPr>
  </w:style>
  <w:style w:type="paragraph" w:styleId="Heading2">
    <w:name w:val="heading 2"/>
    <w:basedOn w:val="Normal"/>
    <w:next w:val="Normal"/>
    <w:link w:val="Heading2Char"/>
    <w:uiPriority w:val="9"/>
    <w:qFormat/>
    <w:rsid w:val="00FE2595"/>
    <w:pPr>
      <w:keepNext/>
      <w:keepLines/>
      <w:spacing w:after="0" w:line="360" w:lineRule="atLeast"/>
      <w:outlineLvl w:val="1"/>
    </w:pPr>
    <w:rPr>
      <w:rFonts w:asciiTheme="majorHAnsi" w:eastAsiaTheme="majorEastAsia" w:hAnsiTheme="majorHAnsi" w:cstheme="majorBidi"/>
      <w:bCs/>
      <w:color w:val="00D7BD" w:themeColor="accent1"/>
      <w:sz w:val="28"/>
      <w:szCs w:val="26"/>
    </w:rPr>
  </w:style>
  <w:style w:type="paragraph" w:styleId="Heading3">
    <w:name w:val="heading 3"/>
    <w:basedOn w:val="Normal"/>
    <w:next w:val="Normal"/>
    <w:link w:val="Heading3Char"/>
    <w:uiPriority w:val="9"/>
    <w:qFormat/>
    <w:rsid w:val="00FE2595"/>
    <w:pPr>
      <w:keepNext/>
      <w:keepLines/>
      <w:spacing w:before="120" w:after="0"/>
      <w:outlineLvl w:val="2"/>
    </w:pPr>
    <w:rPr>
      <w:rFonts w:asciiTheme="majorHAnsi" w:eastAsiaTheme="majorEastAsia" w:hAnsiTheme="majorHAnsi" w:cstheme="majorBidi"/>
      <w:b/>
      <w:bCs/>
      <w:color w:val="00D7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595"/>
    <w:rPr>
      <w:rFonts w:asciiTheme="majorHAnsi" w:eastAsiaTheme="majorEastAsia" w:hAnsiTheme="majorHAnsi" w:cstheme="majorBidi"/>
      <w:bCs/>
      <w:color w:val="00D7BD" w:themeColor="accent1"/>
      <w:sz w:val="42"/>
      <w:szCs w:val="28"/>
    </w:rPr>
  </w:style>
  <w:style w:type="character" w:customStyle="1" w:styleId="Heading2Char">
    <w:name w:val="Heading 2 Char"/>
    <w:basedOn w:val="DefaultParagraphFont"/>
    <w:link w:val="Heading2"/>
    <w:uiPriority w:val="9"/>
    <w:rsid w:val="00FE2595"/>
    <w:rPr>
      <w:rFonts w:asciiTheme="majorHAnsi" w:eastAsiaTheme="majorEastAsia" w:hAnsiTheme="majorHAnsi" w:cstheme="majorBidi"/>
      <w:bCs/>
      <w:color w:val="00D7BD" w:themeColor="accent1"/>
      <w:sz w:val="28"/>
      <w:szCs w:val="26"/>
    </w:rPr>
  </w:style>
  <w:style w:type="paragraph" w:customStyle="1" w:styleId="Documenttitle">
    <w:name w:val="Document title"/>
    <w:basedOn w:val="Normal"/>
    <w:qFormat/>
    <w:rsid w:val="00CA3E45"/>
    <w:pPr>
      <w:spacing w:after="0" w:line="720" w:lineRule="atLeast"/>
    </w:pPr>
    <w:rPr>
      <w:b/>
      <w:color w:val="FFFFFF" w:themeColor="background1"/>
      <w:sz w:val="60"/>
    </w:rPr>
  </w:style>
  <w:style w:type="table" w:styleId="TableGrid">
    <w:name w:val="Table Grid"/>
    <w:basedOn w:val="TableNormal"/>
    <w:uiPriority w:val="39"/>
    <w:rsid w:val="00C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rsid w:val="005C66E7"/>
    <w:pPr>
      <w:tabs>
        <w:tab w:val="center" w:pos="4513"/>
        <w:tab w:val="right" w:pos="9026"/>
      </w:tabs>
      <w:spacing w:after="0" w:line="240" w:lineRule="auto"/>
    </w:pPr>
    <w:rPr>
      <w:color w:val="000000" w:themeColor="text1"/>
      <w:sz w:val="16"/>
    </w:rPr>
  </w:style>
  <w:style w:type="character" w:customStyle="1" w:styleId="HeaderChar">
    <w:name w:val="Header Char"/>
    <w:basedOn w:val="DefaultParagraphFont"/>
    <w:link w:val="Header"/>
    <w:uiPriority w:val="99"/>
    <w:rsid w:val="005C66E7"/>
    <w:rPr>
      <w:color w:val="000000" w:themeColor="text1"/>
      <w:sz w:val="16"/>
    </w:rPr>
  </w:style>
  <w:style w:type="paragraph" w:styleId="Footer">
    <w:name w:val="footer"/>
    <w:basedOn w:val="Normal"/>
    <w:link w:val="FooterChar"/>
    <w:uiPriority w:val="99"/>
    <w:rsid w:val="005C66E7"/>
    <w:pPr>
      <w:tabs>
        <w:tab w:val="right" w:pos="10206"/>
      </w:tabs>
      <w:spacing w:after="0" w:line="180" w:lineRule="atLeast"/>
    </w:pPr>
    <w:rPr>
      <w:sz w:val="14"/>
    </w:rPr>
  </w:style>
  <w:style w:type="character" w:customStyle="1" w:styleId="FooterChar">
    <w:name w:val="Footer Char"/>
    <w:basedOn w:val="DefaultParagraphFont"/>
    <w:link w:val="Footer"/>
    <w:uiPriority w:val="99"/>
    <w:rsid w:val="005C66E7"/>
    <w:rPr>
      <w:color w:val="000000" w:themeColor="text1"/>
      <w:sz w:val="14"/>
    </w:rPr>
  </w:style>
  <w:style w:type="paragraph" w:styleId="BalloonText">
    <w:name w:val="Balloon Text"/>
    <w:basedOn w:val="Normal"/>
    <w:link w:val="BalloonTextChar"/>
    <w:uiPriority w:val="99"/>
    <w:semiHidden/>
    <w:rsid w:val="00C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45"/>
    <w:rPr>
      <w:rFonts w:ascii="Tahoma" w:hAnsi="Tahoma" w:cs="Tahoma"/>
      <w:color w:val="000000" w:themeColor="text1"/>
      <w:sz w:val="16"/>
      <w:szCs w:val="16"/>
    </w:rPr>
  </w:style>
  <w:style w:type="paragraph" w:styleId="ListBullet">
    <w:name w:val="List Bullet"/>
    <w:basedOn w:val="Normal"/>
    <w:uiPriority w:val="99"/>
    <w:qFormat/>
    <w:rsid w:val="00145240"/>
    <w:pPr>
      <w:numPr>
        <w:numId w:val="1"/>
      </w:numPr>
      <w:contextualSpacing/>
    </w:pPr>
  </w:style>
  <w:style w:type="paragraph" w:styleId="ListBullet2">
    <w:name w:val="List Bullet 2"/>
    <w:basedOn w:val="Normal"/>
    <w:uiPriority w:val="99"/>
    <w:qFormat/>
    <w:rsid w:val="00145240"/>
    <w:pPr>
      <w:numPr>
        <w:numId w:val="2"/>
      </w:numPr>
      <w:contextualSpacing/>
    </w:pPr>
  </w:style>
  <w:style w:type="paragraph" w:styleId="ListNumber">
    <w:name w:val="List Number"/>
    <w:basedOn w:val="Normal"/>
    <w:uiPriority w:val="99"/>
    <w:qFormat/>
    <w:rsid w:val="00145240"/>
    <w:pPr>
      <w:numPr>
        <w:numId w:val="3"/>
      </w:numPr>
      <w:contextualSpacing/>
    </w:pPr>
  </w:style>
  <w:style w:type="paragraph" w:styleId="ListNumber2">
    <w:name w:val="List Number 2"/>
    <w:basedOn w:val="Normal"/>
    <w:uiPriority w:val="99"/>
    <w:qFormat/>
    <w:rsid w:val="00145240"/>
    <w:pPr>
      <w:numPr>
        <w:numId w:val="4"/>
      </w:numPr>
      <w:contextualSpacing/>
    </w:pPr>
  </w:style>
  <w:style w:type="character" w:customStyle="1" w:styleId="Heading3Char">
    <w:name w:val="Heading 3 Char"/>
    <w:basedOn w:val="DefaultParagraphFont"/>
    <w:link w:val="Heading3"/>
    <w:uiPriority w:val="9"/>
    <w:rsid w:val="00FE2595"/>
    <w:rPr>
      <w:rFonts w:asciiTheme="majorHAnsi" w:eastAsiaTheme="majorEastAsia" w:hAnsiTheme="majorHAnsi" w:cstheme="majorBidi"/>
      <w:b/>
      <w:bCs/>
      <w:color w:val="00D7BD" w:themeColor="accent1"/>
      <w:sz w:val="20"/>
    </w:rPr>
  </w:style>
  <w:style w:type="table" w:customStyle="1" w:styleId="TableGrid0">
    <w:name w:val="TableGrid"/>
    <w:rsid w:val="00D73DC4"/>
    <w:pPr>
      <w:spacing w:after="0" w:line="240" w:lineRule="auto"/>
    </w:pPr>
    <w:rPr>
      <w:lang w:val="en-US" w:eastAsia="ja-JP"/>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73DC4"/>
    <w:rPr>
      <w:sz w:val="16"/>
      <w:szCs w:val="16"/>
    </w:rPr>
  </w:style>
  <w:style w:type="paragraph" w:styleId="CommentText">
    <w:name w:val="annotation text"/>
    <w:basedOn w:val="Normal"/>
    <w:link w:val="CommentTextChar"/>
    <w:uiPriority w:val="99"/>
    <w:unhideWhenUsed/>
    <w:rsid w:val="00D73DC4"/>
    <w:pPr>
      <w:spacing w:line="240" w:lineRule="auto"/>
    </w:pPr>
    <w:rPr>
      <w:szCs w:val="20"/>
    </w:rPr>
  </w:style>
  <w:style w:type="character" w:customStyle="1" w:styleId="CommentTextChar">
    <w:name w:val="Comment Text Char"/>
    <w:basedOn w:val="DefaultParagraphFont"/>
    <w:link w:val="CommentText"/>
    <w:uiPriority w:val="99"/>
    <w:rsid w:val="00D73DC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73DC4"/>
    <w:rPr>
      <w:b/>
      <w:bCs/>
    </w:rPr>
  </w:style>
  <w:style w:type="character" w:customStyle="1" w:styleId="CommentSubjectChar">
    <w:name w:val="Comment Subject Char"/>
    <w:basedOn w:val="CommentTextChar"/>
    <w:link w:val="CommentSubject"/>
    <w:uiPriority w:val="99"/>
    <w:semiHidden/>
    <w:rsid w:val="00D73DC4"/>
    <w:rPr>
      <w:b/>
      <w:bCs/>
      <w:color w:val="000000" w:themeColor="text1"/>
      <w:sz w:val="20"/>
      <w:szCs w:val="20"/>
    </w:rPr>
  </w:style>
  <w:style w:type="paragraph" w:styleId="ListParagraph">
    <w:name w:val="List Paragraph"/>
    <w:basedOn w:val="Normal"/>
    <w:link w:val="ListParagraphChar"/>
    <w:uiPriority w:val="34"/>
    <w:qFormat/>
    <w:rsid w:val="00C7723E"/>
    <w:pPr>
      <w:ind w:left="720"/>
      <w:contextualSpacing/>
    </w:pPr>
    <w:rPr>
      <w:lang w:val="de-DE"/>
    </w:rPr>
  </w:style>
  <w:style w:type="table" w:styleId="GridTable7Colorful">
    <w:name w:val="Grid Table 7 Colorful"/>
    <w:basedOn w:val="TableNormal"/>
    <w:uiPriority w:val="52"/>
    <w:rsid w:val="00C772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basedOn w:val="DefaultParagraphFont"/>
    <w:link w:val="ListParagraph"/>
    <w:uiPriority w:val="34"/>
    <w:rsid w:val="00C7723E"/>
    <w:rPr>
      <w:color w:val="000000" w:themeColor="text1"/>
      <w:sz w:val="20"/>
      <w:lang w:val="de-DE"/>
    </w:rPr>
  </w:style>
  <w:style w:type="character" w:styleId="Hyperlink">
    <w:name w:val="Hyperlink"/>
    <w:basedOn w:val="DefaultParagraphFont"/>
    <w:uiPriority w:val="99"/>
    <w:unhideWhenUsed/>
    <w:rsid w:val="00C7723E"/>
    <w:rPr>
      <w:color w:val="00A59B" w:themeColor="hyperlink"/>
      <w:u w:val="single"/>
    </w:rPr>
  </w:style>
  <w:style w:type="character" w:customStyle="1" w:styleId="fl-heading-text">
    <w:name w:val="fl-heading-text"/>
    <w:basedOn w:val="DefaultParagraphFont"/>
    <w:rsid w:val="00C7723E"/>
  </w:style>
  <w:style w:type="paragraph" w:customStyle="1" w:styleId="Table">
    <w:name w:val="Table"/>
    <w:basedOn w:val="Normal"/>
    <w:qFormat/>
    <w:rsid w:val="00301EE1"/>
    <w:pPr>
      <w:spacing w:before="60" w:after="60" w:line="240" w:lineRule="auto"/>
    </w:pPr>
    <w:rPr>
      <w:rFonts w:ascii="Arial" w:hAnsi="Arial"/>
      <w:sz w:val="22"/>
      <w:lang w:val="de-DE"/>
    </w:rPr>
  </w:style>
  <w:style w:type="table" w:customStyle="1" w:styleId="Colttop">
    <w:name w:val="Colt top"/>
    <w:basedOn w:val="TableNormal"/>
    <w:uiPriority w:val="99"/>
    <w:rsid w:val="004B1B7E"/>
    <w:pPr>
      <w:spacing w:before="60" w:after="60" w:line="240" w:lineRule="auto"/>
    </w:pPr>
    <w:rPr>
      <w:rFonts w:ascii="Arial" w:hAnsi="Arial"/>
      <w:color w:val="000000" w:themeColor="text1"/>
    </w:rPr>
    <w:tblPr>
      <w:tblStyleRowBandSize w:val="1"/>
      <w:tblInd w:w="113" w:type="dxa"/>
      <w:tblBorders>
        <w:top w:val="single" w:sz="4" w:space="0" w:color="EF476F" w:themeColor="accent6"/>
        <w:left w:val="single" w:sz="4" w:space="0" w:color="EF476F" w:themeColor="accent6"/>
        <w:bottom w:val="single" w:sz="4" w:space="0" w:color="EF476F" w:themeColor="accent6"/>
        <w:right w:val="single" w:sz="4" w:space="0" w:color="EF476F" w:themeColor="accent6"/>
        <w:insideH w:val="single" w:sz="4" w:space="0" w:color="EF476F" w:themeColor="accent6"/>
        <w:insideV w:val="single" w:sz="4" w:space="0" w:color="EF476F" w:themeColor="accent6"/>
      </w:tblBorders>
    </w:tblPr>
    <w:tblStylePr w:type="firstRow">
      <w:pPr>
        <w:wordWrap/>
        <w:spacing w:beforeLines="0" w:before="20" w:beforeAutospacing="0" w:afterLines="0" w:after="20" w:afterAutospacing="0" w:line="240" w:lineRule="auto"/>
      </w:pPr>
      <w:rPr>
        <w:rFonts w:ascii="Skanska Sans Pro" w:hAnsi="Skanska Sans Pro"/>
        <w:b/>
        <w:color w:val="FFFFFF" w:themeColor="background1"/>
        <w:sz w:val="22"/>
        <w:u w:color="FFFFFF" w:themeColor="background1"/>
      </w:rPr>
      <w:tblPr/>
      <w:trPr>
        <w:tblHeader/>
      </w:trPr>
      <w:tcPr>
        <w:tcBorders>
          <w:top w:val="single" w:sz="4" w:space="0" w:color="00D7BD" w:themeColor="accent1"/>
          <w:left w:val="single" w:sz="4" w:space="0" w:color="00D7BD" w:themeColor="accent1"/>
          <w:bottom w:val="single" w:sz="4" w:space="0" w:color="00D7BD" w:themeColor="accent1"/>
          <w:right w:val="single" w:sz="4" w:space="0" w:color="00D7BD" w:themeColor="accent1"/>
          <w:insideH w:val="nil"/>
          <w:insideV w:val="single" w:sz="4" w:space="0" w:color="FFFFFF" w:themeColor="background1"/>
          <w:tl2br w:val="nil"/>
          <w:tr2bl w:val="nil"/>
        </w:tcBorders>
        <w:shd w:val="clear" w:color="auto" w:fill="00D7BD" w:themeFill="accent1"/>
      </w:tcPr>
    </w:tblStylePr>
    <w:tblStylePr w:type="band2Horz">
      <w:tblPr/>
      <w:tcPr>
        <w:shd w:val="clear" w:color="auto" w:fill="F2F2F2" w:themeFill="background1" w:themeFillShade="F2"/>
      </w:tcPr>
    </w:tblStylePr>
  </w:style>
  <w:style w:type="table" w:customStyle="1" w:styleId="TableGrid1">
    <w:name w:val="Table Grid1"/>
    <w:basedOn w:val="TableNormal"/>
    <w:next w:val="TableGrid"/>
    <w:uiPriority w:val="39"/>
    <w:rsid w:val="00102ED0"/>
    <w:pPr>
      <w:spacing w:after="0" w:line="240" w:lineRule="auto"/>
    </w:pPr>
    <w:rPr>
      <w:rFonts w:ascii="Calibri" w:eastAsiaTheme="minorHAnsi" w:hAnsi="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4EE"/>
    <w:rPr>
      <w:color w:val="0099FF" w:themeColor="followedHyperlink"/>
      <w:u w:val="single"/>
    </w:rPr>
  </w:style>
  <w:style w:type="paragraph" w:styleId="NormalWeb">
    <w:name w:val="Normal (Web)"/>
    <w:basedOn w:val="Normal"/>
    <w:uiPriority w:val="99"/>
    <w:semiHidden/>
    <w:unhideWhenUsed/>
    <w:rsid w:val="00C81692"/>
    <w:pPr>
      <w:spacing w:before="100" w:beforeAutospacing="1" w:after="100" w:afterAutospacing="1" w:line="240" w:lineRule="auto"/>
    </w:pPr>
    <w:rPr>
      <w:rFonts w:ascii="Times New Roman" w:eastAsia="Times New Roman" w:hAnsi="Times New Roman" w:cs="Times New Roman"/>
      <w:color w:val="auto"/>
      <w:sz w:val="24"/>
      <w:szCs w:val="24"/>
      <w:lang w:val="en-US" w:eastAsia="ja-JP"/>
    </w:rPr>
  </w:style>
  <w:style w:type="character" w:styleId="Strong">
    <w:name w:val="Strong"/>
    <w:basedOn w:val="DefaultParagraphFont"/>
    <w:uiPriority w:val="22"/>
    <w:qFormat/>
    <w:rsid w:val="00C81692"/>
    <w:rPr>
      <w:b/>
      <w:bCs/>
    </w:rPr>
  </w:style>
  <w:style w:type="paragraph" w:customStyle="1" w:styleId="Default">
    <w:name w:val="Default"/>
    <w:rsid w:val="00115ACF"/>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DE6A30"/>
    <w:rPr>
      <w:color w:val="605E5C"/>
      <w:shd w:val="clear" w:color="auto" w:fill="E1DFDD"/>
    </w:rPr>
  </w:style>
  <w:style w:type="paragraph" w:styleId="Revision">
    <w:name w:val="Revision"/>
    <w:hidden/>
    <w:uiPriority w:val="99"/>
    <w:semiHidden/>
    <w:rsid w:val="00DE6A30"/>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06779">
      <w:bodyDiv w:val="1"/>
      <w:marLeft w:val="0"/>
      <w:marRight w:val="0"/>
      <w:marTop w:val="0"/>
      <w:marBottom w:val="0"/>
      <w:divBdr>
        <w:top w:val="none" w:sz="0" w:space="0" w:color="auto"/>
        <w:left w:val="none" w:sz="0" w:space="0" w:color="auto"/>
        <w:bottom w:val="none" w:sz="0" w:space="0" w:color="auto"/>
        <w:right w:val="none" w:sz="0" w:space="0" w:color="auto"/>
      </w:divBdr>
      <w:divsChild>
        <w:div w:id="1246722682">
          <w:marLeft w:val="0"/>
          <w:marRight w:val="0"/>
          <w:marTop w:val="0"/>
          <w:marBottom w:val="0"/>
          <w:divBdr>
            <w:top w:val="none" w:sz="0" w:space="0" w:color="auto"/>
            <w:left w:val="none" w:sz="0" w:space="0" w:color="auto"/>
            <w:bottom w:val="none" w:sz="0" w:space="0" w:color="auto"/>
            <w:right w:val="none" w:sz="0" w:space="0" w:color="auto"/>
          </w:divBdr>
        </w:div>
      </w:divsChild>
    </w:div>
    <w:div w:id="1031416217">
      <w:bodyDiv w:val="1"/>
      <w:marLeft w:val="0"/>
      <w:marRight w:val="0"/>
      <w:marTop w:val="0"/>
      <w:marBottom w:val="0"/>
      <w:divBdr>
        <w:top w:val="none" w:sz="0" w:space="0" w:color="auto"/>
        <w:left w:val="none" w:sz="0" w:space="0" w:color="auto"/>
        <w:bottom w:val="none" w:sz="0" w:space="0" w:color="auto"/>
        <w:right w:val="none" w:sz="0" w:space="0" w:color="auto"/>
      </w:divBdr>
    </w:div>
    <w:div w:id="1346712346">
      <w:bodyDiv w:val="1"/>
      <w:marLeft w:val="0"/>
      <w:marRight w:val="0"/>
      <w:marTop w:val="0"/>
      <w:marBottom w:val="0"/>
      <w:divBdr>
        <w:top w:val="none" w:sz="0" w:space="0" w:color="auto"/>
        <w:left w:val="none" w:sz="0" w:space="0" w:color="auto"/>
        <w:bottom w:val="none" w:sz="0" w:space="0" w:color="auto"/>
        <w:right w:val="none" w:sz="0" w:space="0" w:color="auto"/>
      </w:divBdr>
    </w:div>
    <w:div w:id="1409302396">
      <w:bodyDiv w:val="1"/>
      <w:marLeft w:val="0"/>
      <w:marRight w:val="0"/>
      <w:marTop w:val="0"/>
      <w:marBottom w:val="0"/>
      <w:divBdr>
        <w:top w:val="none" w:sz="0" w:space="0" w:color="auto"/>
        <w:left w:val="none" w:sz="0" w:space="0" w:color="auto"/>
        <w:bottom w:val="none" w:sz="0" w:space="0" w:color="auto"/>
        <w:right w:val="none" w:sz="0" w:space="0" w:color="auto"/>
      </w:divBdr>
      <w:divsChild>
        <w:div w:id="1236358303">
          <w:marLeft w:val="763"/>
          <w:marRight w:val="0"/>
          <w:marTop w:val="60"/>
          <w:marBottom w:val="0"/>
          <w:divBdr>
            <w:top w:val="none" w:sz="0" w:space="0" w:color="auto"/>
            <w:left w:val="none" w:sz="0" w:space="0" w:color="auto"/>
            <w:bottom w:val="none" w:sz="0" w:space="0" w:color="auto"/>
            <w:right w:val="none" w:sz="0" w:space="0" w:color="auto"/>
          </w:divBdr>
        </w:div>
        <w:div w:id="400980941">
          <w:marLeft w:val="763"/>
          <w:marRight w:val="0"/>
          <w:marTop w:val="60"/>
          <w:marBottom w:val="0"/>
          <w:divBdr>
            <w:top w:val="none" w:sz="0" w:space="0" w:color="auto"/>
            <w:left w:val="none" w:sz="0" w:space="0" w:color="auto"/>
            <w:bottom w:val="none" w:sz="0" w:space="0" w:color="auto"/>
            <w:right w:val="none" w:sz="0" w:space="0" w:color="auto"/>
          </w:divBdr>
        </w:div>
        <w:div w:id="308216528">
          <w:marLeft w:val="763"/>
          <w:marRight w:val="0"/>
          <w:marTop w:val="60"/>
          <w:marBottom w:val="0"/>
          <w:divBdr>
            <w:top w:val="none" w:sz="0" w:space="0" w:color="auto"/>
            <w:left w:val="none" w:sz="0" w:space="0" w:color="auto"/>
            <w:bottom w:val="none" w:sz="0" w:space="0" w:color="auto"/>
            <w:right w:val="none" w:sz="0" w:space="0" w:color="auto"/>
          </w:divBdr>
        </w:div>
        <w:div w:id="188029255">
          <w:marLeft w:val="763"/>
          <w:marRight w:val="0"/>
          <w:marTop w:val="60"/>
          <w:marBottom w:val="0"/>
          <w:divBdr>
            <w:top w:val="none" w:sz="0" w:space="0" w:color="auto"/>
            <w:left w:val="none" w:sz="0" w:space="0" w:color="auto"/>
            <w:bottom w:val="none" w:sz="0" w:space="0" w:color="auto"/>
            <w:right w:val="none" w:sz="0" w:space="0" w:color="auto"/>
          </w:divBdr>
        </w:div>
      </w:divsChild>
    </w:div>
    <w:div w:id="1413971104">
      <w:bodyDiv w:val="1"/>
      <w:marLeft w:val="0"/>
      <w:marRight w:val="0"/>
      <w:marTop w:val="0"/>
      <w:marBottom w:val="0"/>
      <w:divBdr>
        <w:top w:val="none" w:sz="0" w:space="0" w:color="auto"/>
        <w:left w:val="none" w:sz="0" w:space="0" w:color="auto"/>
        <w:bottom w:val="none" w:sz="0" w:space="0" w:color="auto"/>
        <w:right w:val="none" w:sz="0" w:space="0" w:color="auto"/>
      </w:divBdr>
    </w:div>
    <w:div w:id="1499226718">
      <w:bodyDiv w:val="1"/>
      <w:marLeft w:val="0"/>
      <w:marRight w:val="0"/>
      <w:marTop w:val="0"/>
      <w:marBottom w:val="0"/>
      <w:divBdr>
        <w:top w:val="none" w:sz="0" w:space="0" w:color="auto"/>
        <w:left w:val="none" w:sz="0" w:space="0" w:color="auto"/>
        <w:bottom w:val="none" w:sz="0" w:space="0" w:color="auto"/>
        <w:right w:val="none" w:sz="0" w:space="0" w:color="auto"/>
      </w:divBdr>
      <w:divsChild>
        <w:div w:id="699235739">
          <w:marLeft w:val="0"/>
          <w:marRight w:val="0"/>
          <w:marTop w:val="0"/>
          <w:marBottom w:val="0"/>
          <w:divBdr>
            <w:top w:val="none" w:sz="0" w:space="0" w:color="auto"/>
            <w:left w:val="none" w:sz="0" w:space="0" w:color="auto"/>
            <w:bottom w:val="none" w:sz="0" w:space="0" w:color="auto"/>
            <w:right w:val="none" w:sz="0" w:space="0" w:color="auto"/>
          </w:divBdr>
        </w:div>
      </w:divsChild>
    </w:div>
    <w:div w:id="1638802179">
      <w:bodyDiv w:val="1"/>
      <w:marLeft w:val="0"/>
      <w:marRight w:val="0"/>
      <w:marTop w:val="0"/>
      <w:marBottom w:val="0"/>
      <w:divBdr>
        <w:top w:val="none" w:sz="0" w:space="0" w:color="auto"/>
        <w:left w:val="none" w:sz="0" w:space="0" w:color="auto"/>
        <w:bottom w:val="none" w:sz="0" w:space="0" w:color="auto"/>
        <w:right w:val="none" w:sz="0" w:space="0" w:color="auto"/>
      </w:divBdr>
      <w:divsChild>
        <w:div w:id="1674719118">
          <w:marLeft w:val="0"/>
          <w:marRight w:val="0"/>
          <w:marTop w:val="0"/>
          <w:marBottom w:val="0"/>
          <w:divBdr>
            <w:top w:val="none" w:sz="0" w:space="0" w:color="auto"/>
            <w:left w:val="none" w:sz="0" w:space="0" w:color="auto"/>
            <w:bottom w:val="none" w:sz="0" w:space="0" w:color="auto"/>
            <w:right w:val="none" w:sz="0" w:space="0" w:color="auto"/>
          </w:divBdr>
        </w:div>
      </w:divsChild>
    </w:div>
    <w:div w:id="1913848507">
      <w:bodyDiv w:val="1"/>
      <w:marLeft w:val="0"/>
      <w:marRight w:val="0"/>
      <w:marTop w:val="0"/>
      <w:marBottom w:val="0"/>
      <w:divBdr>
        <w:top w:val="none" w:sz="0" w:space="0" w:color="auto"/>
        <w:left w:val="none" w:sz="0" w:space="0" w:color="auto"/>
        <w:bottom w:val="none" w:sz="0" w:space="0" w:color="auto"/>
        <w:right w:val="none" w:sz="0" w:space="0" w:color="auto"/>
      </w:divBdr>
    </w:div>
    <w:div w:id="2030523960">
      <w:bodyDiv w:val="1"/>
      <w:marLeft w:val="0"/>
      <w:marRight w:val="0"/>
      <w:marTop w:val="0"/>
      <w:marBottom w:val="0"/>
      <w:divBdr>
        <w:top w:val="none" w:sz="0" w:space="0" w:color="auto"/>
        <w:left w:val="none" w:sz="0" w:space="0" w:color="auto"/>
        <w:bottom w:val="none" w:sz="0" w:space="0" w:color="auto"/>
        <w:right w:val="none" w:sz="0" w:space="0" w:color="auto"/>
      </w:divBdr>
      <w:divsChild>
        <w:div w:id="60372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wp-content/uploads/2022/08/DP-compliance-statement-signed.pdf" TargetMode="External"/><Relationship Id="rId18" Type="http://schemas.openxmlformats.org/officeDocument/2006/relationships/hyperlink" Target="https://en.wikipedia.org/wiki/Personally_Identifiable_Inform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lt.net/legal/data-privacy/" TargetMode="External"/><Relationship Id="rId17" Type="http://schemas.openxmlformats.org/officeDocument/2006/relationships/hyperlink" Target="https://www.aepd.es/es/documento/ti-00003-2021-resolucion-aprobacion-bcr-responsable-col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pb.europa.eu/our-work-tools/accountability-tools/bcr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uware.com/en/privacy-polic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lt.net/legal/data-privac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lt.net/why-colt/cert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t.net/wp-content/uploads/2023/06/Privacy-by-design-statement-signed.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lt">
  <a:themeElements>
    <a:clrScheme name="colt">
      <a:dk1>
        <a:srgbClr val="000000"/>
      </a:dk1>
      <a:lt1>
        <a:srgbClr val="FFFFFF"/>
      </a:lt1>
      <a:dk2>
        <a:srgbClr val="484A47"/>
      </a:dk2>
      <a:lt2>
        <a:srgbClr val="F5F5F5"/>
      </a:lt2>
      <a:accent1>
        <a:srgbClr val="00D7BD"/>
      </a:accent1>
      <a:accent2>
        <a:srgbClr val="00A59B"/>
      </a:accent2>
      <a:accent3>
        <a:srgbClr val="0099FF"/>
      </a:accent3>
      <a:accent4>
        <a:srgbClr val="500091"/>
      </a:accent4>
      <a:accent5>
        <a:srgbClr val="FFC43D"/>
      </a:accent5>
      <a:accent6>
        <a:srgbClr val="EF476F"/>
      </a:accent6>
      <a:hlink>
        <a:srgbClr val="00A59B"/>
      </a:hlink>
      <a:folHlink>
        <a:srgbClr val="0099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2E6EA0961F814EB54F3004C3E80618" ma:contentTypeVersion="41" ma:contentTypeDescription="Create a new document." ma:contentTypeScope="" ma:versionID="60d13815c69009e347073824dbcd2940">
  <xsd:schema xmlns:xsd="http://www.w3.org/2001/XMLSchema" xmlns:xs="http://www.w3.org/2001/XMLSchema" xmlns:p="http://schemas.microsoft.com/office/2006/metadata/properties" xmlns:ns1="http://schemas.microsoft.com/sharepoint/v3" xmlns:ns2="e3bf0fbf-0480-480d-ac2b-9ea3df3c39e8" xmlns:ns3="ad1d5f90-1814-421a-a040-ac957c7235ea" xmlns:ns4="http://schemas.microsoft.com/sharepoint/v4" targetNamespace="http://schemas.microsoft.com/office/2006/metadata/properties" ma:root="true" ma:fieldsID="ba74d22e16c24d0c0d89704b39406bee" ns1:_="" ns2:_="" ns3:_="" ns4:_="">
    <xsd:import namespace="http://schemas.microsoft.com/sharepoint/v3"/>
    <xsd:import namespace="e3bf0fbf-0480-480d-ac2b-9ea3df3c39e8"/>
    <xsd:import namespace="ad1d5f90-1814-421a-a040-ac957c7235e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AutoTag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f0fbf-0480-480d-ac2b-9ea3df3c39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d5f90-1814-421a-a040-ac957c7235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972FB-229D-41F4-8869-FDBFED5C68E6}">
  <ds:schemaRefs>
    <ds:schemaRef ds:uri="http://schemas.microsoft.com/sharepoint/v3/contenttype/forms"/>
  </ds:schemaRefs>
</ds:datastoreItem>
</file>

<file path=customXml/itemProps2.xml><?xml version="1.0" encoding="utf-8"?>
<ds:datastoreItem xmlns:ds="http://schemas.openxmlformats.org/officeDocument/2006/customXml" ds:itemID="{49B46B27-50C5-4484-A0B8-E4CD07B5F84C}">
  <ds:schemaRefs>
    <ds:schemaRef ds:uri="http://schemas.openxmlformats.org/officeDocument/2006/bibliography"/>
  </ds:schemaRefs>
</ds:datastoreItem>
</file>

<file path=customXml/itemProps3.xml><?xml version="1.0" encoding="utf-8"?>
<ds:datastoreItem xmlns:ds="http://schemas.openxmlformats.org/officeDocument/2006/customXml" ds:itemID="{5C0B1102-7548-4D81-9207-51F4288F3C7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BFB10B10-B8D3-4FCE-8424-0447C55F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f0fbf-0480-480d-ac2b-9ea3df3c39e8"/>
    <ds:schemaRef ds:uri="ad1d5f90-1814-421a-a040-ac957c7235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Colt word template with banner 2021</vt:lpstr>
    </vt:vector>
  </TitlesOfParts>
  <Company>Operandi Limited</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Colt word template with banner 2021</dc:title>
  <dc:subject/>
  <dc:creator>Eales, Nathan</dc:creator>
  <cp:keywords/>
  <dc:description/>
  <cp:lastModifiedBy>Sirera, Cristina</cp:lastModifiedBy>
  <cp:revision>3</cp:revision>
  <dcterms:created xsi:type="dcterms:W3CDTF">2024-04-11T08:03:00Z</dcterms:created>
  <dcterms:modified xsi:type="dcterms:W3CDTF">2024-04-11T08:48:00Z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0x010100A62E6EA0961F814EB54F3004C3E80618</vt:lpwstr>
  </property>
</Properties>
</file>